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B6" w:rsidRDefault="002F1DC5">
      <w:pPr>
        <w:pStyle w:val="TitleStyle"/>
      </w:pPr>
      <w:r>
        <w:t>Dyrektywa 2019/1937 w sprawie ochrony osób zgłaszających naruszenia prawa Unii</w:t>
      </w:r>
    </w:p>
    <w:p w:rsidR="00DF1EB6" w:rsidRDefault="002F1DC5">
      <w:pPr>
        <w:pStyle w:val="NormalStyle"/>
      </w:pPr>
      <w:r>
        <w:t>Dz.U.UE.L.2019.305.17 z dnia 2019.11.26</w:t>
      </w:r>
    </w:p>
    <w:p w:rsidR="00DF1EB6" w:rsidRDefault="002F1DC5">
      <w:pPr>
        <w:pStyle w:val="NormalStyle"/>
      </w:pPr>
      <w:r>
        <w:t>Status: Akt obowiązujący</w:t>
      </w:r>
    </w:p>
    <w:p w:rsidR="00DF1EB6" w:rsidRDefault="002F1DC5">
      <w:pPr>
        <w:pStyle w:val="NormalStyle"/>
      </w:pPr>
      <w:r>
        <w:t>Wersja od: 10 listopada 2021r.</w:t>
      </w:r>
    </w:p>
    <w:p w:rsidR="00DF1EB6" w:rsidRDefault="002F1DC5">
      <w:pPr>
        <w:spacing w:after="0"/>
      </w:pPr>
      <w:r>
        <w:br/>
      </w:r>
    </w:p>
    <w:p w:rsidR="00DF1EB6" w:rsidRDefault="002F1DC5">
      <w:pPr>
        <w:spacing w:after="0"/>
      </w:pPr>
      <w:r>
        <w:rPr>
          <w:b/>
          <w:color w:val="000000"/>
        </w:rPr>
        <w:t>Wejście w życie:</w:t>
      </w:r>
    </w:p>
    <w:p w:rsidR="00DF1EB6" w:rsidRDefault="002F1DC5">
      <w:pPr>
        <w:spacing w:after="0"/>
      </w:pPr>
      <w:r>
        <w:rPr>
          <w:color w:val="000000"/>
        </w:rPr>
        <w:t>16 grudnia 2019 r.</w:t>
      </w:r>
    </w:p>
    <w:p w:rsidR="00DF1EB6" w:rsidRDefault="002F1DC5">
      <w:pPr>
        <w:spacing w:after="0"/>
      </w:pPr>
      <w:r>
        <w:rPr>
          <w:b/>
          <w:color w:val="000000"/>
        </w:rPr>
        <w:t>Numer CELEX:</w:t>
      </w:r>
    </w:p>
    <w:p w:rsidR="00DF1EB6" w:rsidRDefault="002F1DC5">
      <w:pPr>
        <w:spacing w:after="150"/>
      </w:pPr>
      <w:r>
        <w:rPr>
          <w:color w:val="000000"/>
        </w:rPr>
        <w:t>32019L1937</w:t>
      </w:r>
    </w:p>
    <w:p w:rsidR="00DF1EB6" w:rsidRDefault="002F1DC5">
      <w:pPr>
        <w:spacing w:after="0"/>
      </w:pPr>
      <w:r>
        <w:br/>
      </w:r>
    </w:p>
    <w:p w:rsidR="00DF1EB6" w:rsidRDefault="002F1DC5">
      <w:pPr>
        <w:spacing w:before="60" w:after="0"/>
        <w:jc w:val="center"/>
      </w:pPr>
      <w:r>
        <w:rPr>
          <w:b/>
          <w:color w:val="000000"/>
        </w:rPr>
        <w:t xml:space="preserve">DYREKTYWA </w:t>
      </w:r>
      <w:r>
        <w:rPr>
          <w:b/>
          <w:color w:val="000000"/>
        </w:rPr>
        <w:t>PARLAMENTU EUROPEJSKIEGO I RADY (UE) 2019/1937</w:t>
      </w:r>
    </w:p>
    <w:p w:rsidR="00DF1EB6" w:rsidRDefault="002F1DC5">
      <w:pPr>
        <w:spacing w:before="80" w:after="0"/>
        <w:jc w:val="center"/>
      </w:pPr>
      <w:r>
        <w:rPr>
          <w:b/>
          <w:color w:val="000000"/>
        </w:rPr>
        <w:t>z dnia 23 października 2019 r.</w:t>
      </w:r>
    </w:p>
    <w:p w:rsidR="00DF1EB6" w:rsidRDefault="002F1DC5">
      <w:pPr>
        <w:spacing w:before="80" w:after="0"/>
        <w:jc w:val="center"/>
      </w:pPr>
      <w:r>
        <w:rPr>
          <w:b/>
          <w:color w:val="000000"/>
        </w:rPr>
        <w:t>w sprawie ochrony osób zgłaszających naruszenia prawa Unii</w:t>
      </w:r>
    </w:p>
    <w:p w:rsidR="00DF1EB6" w:rsidRDefault="002F1DC5">
      <w:pPr>
        <w:spacing w:before="320" w:after="320"/>
        <w:jc w:val="center"/>
      </w:pPr>
      <w:r>
        <w:t>(Dz. U. UE. L. z 2019 r. Nr 305, str. 17; zm.: Dz. U. UE. L. z 2020 r. Nr 347, str. 1.)</w:t>
      </w:r>
    </w:p>
    <w:p w:rsidR="00DF1EB6" w:rsidRDefault="002F1DC5">
      <w:pPr>
        <w:spacing w:before="80" w:after="0"/>
        <w:jc w:val="center"/>
      </w:pPr>
      <w:r>
        <w:rPr>
          <w:color w:val="000000"/>
        </w:rPr>
        <w:t>PARLAMENT EUROPEJSKI I RADA UNI</w:t>
      </w:r>
      <w:r>
        <w:rPr>
          <w:color w:val="000000"/>
        </w:rPr>
        <w:t>I EUROPEJSKIEJ,</w:t>
      </w:r>
    </w:p>
    <w:p w:rsidR="00DF1EB6" w:rsidRDefault="002F1DC5">
      <w:pPr>
        <w:spacing w:before="25" w:after="0"/>
        <w:jc w:val="center"/>
      </w:pPr>
      <w:r>
        <w:rPr>
          <w:color w:val="000000"/>
        </w:rPr>
        <w:t xml:space="preserve">uwzględniając Traktat o funkcjonowaniu Unii Europejskiej, w szczególności jego </w:t>
      </w:r>
      <w:r>
        <w:rPr>
          <w:color w:val="1B1B1B"/>
        </w:rPr>
        <w:t>art. 16</w:t>
      </w:r>
      <w:r>
        <w:rPr>
          <w:color w:val="000000"/>
        </w:rPr>
        <w:t xml:space="preserve">, </w:t>
      </w:r>
      <w:r>
        <w:rPr>
          <w:color w:val="1B1B1B"/>
        </w:rPr>
        <w:t>art. 43 ust. 2</w:t>
      </w:r>
      <w:r>
        <w:rPr>
          <w:color w:val="000000"/>
        </w:rPr>
        <w:t xml:space="preserve">, </w:t>
      </w:r>
      <w:r>
        <w:rPr>
          <w:color w:val="1B1B1B"/>
        </w:rPr>
        <w:t>art. 50</w:t>
      </w:r>
      <w:r>
        <w:rPr>
          <w:color w:val="000000"/>
        </w:rPr>
        <w:t xml:space="preserve">, </w:t>
      </w:r>
      <w:r>
        <w:rPr>
          <w:color w:val="1B1B1B"/>
        </w:rPr>
        <w:t>art. 53 ust. 1</w:t>
      </w:r>
      <w:r>
        <w:rPr>
          <w:color w:val="000000"/>
        </w:rPr>
        <w:t xml:space="preserve">, </w:t>
      </w:r>
      <w:r>
        <w:rPr>
          <w:color w:val="1B1B1B"/>
        </w:rPr>
        <w:t>art. 91</w:t>
      </w:r>
      <w:r>
        <w:rPr>
          <w:color w:val="000000"/>
        </w:rPr>
        <w:t xml:space="preserve">, </w:t>
      </w:r>
      <w:r>
        <w:rPr>
          <w:color w:val="1B1B1B"/>
        </w:rPr>
        <w:t>100</w:t>
      </w:r>
      <w:r>
        <w:rPr>
          <w:color w:val="000000"/>
        </w:rPr>
        <w:t xml:space="preserve"> i </w:t>
      </w:r>
      <w:r>
        <w:rPr>
          <w:color w:val="1B1B1B"/>
        </w:rPr>
        <w:t>114</w:t>
      </w:r>
      <w:r>
        <w:rPr>
          <w:color w:val="000000"/>
        </w:rPr>
        <w:t xml:space="preserve">, </w:t>
      </w:r>
      <w:r>
        <w:rPr>
          <w:color w:val="1B1B1B"/>
        </w:rPr>
        <w:t>art. 168 ust. 4</w:t>
      </w:r>
      <w:r>
        <w:rPr>
          <w:color w:val="000000"/>
        </w:rPr>
        <w:t xml:space="preserve">, </w:t>
      </w:r>
      <w:r>
        <w:rPr>
          <w:color w:val="1B1B1B"/>
        </w:rPr>
        <w:t>art. 169</w:t>
      </w:r>
      <w:r>
        <w:rPr>
          <w:color w:val="000000"/>
        </w:rPr>
        <w:t xml:space="preserve">, </w:t>
      </w:r>
      <w:r>
        <w:rPr>
          <w:color w:val="1B1B1B"/>
        </w:rPr>
        <w:t>art. 192 ust. 1</w:t>
      </w:r>
      <w:r>
        <w:rPr>
          <w:color w:val="000000"/>
        </w:rPr>
        <w:t xml:space="preserve"> i </w:t>
      </w:r>
      <w:r>
        <w:rPr>
          <w:color w:val="1B1B1B"/>
        </w:rPr>
        <w:t>art. 325 ust. 4</w:t>
      </w:r>
      <w:r>
        <w:rPr>
          <w:color w:val="000000"/>
        </w:rPr>
        <w:t>, oraz Traktat ustanawiający Eu</w:t>
      </w:r>
      <w:r>
        <w:rPr>
          <w:color w:val="000000"/>
        </w:rPr>
        <w:t xml:space="preserve">ropejską Wspólnotę Energii Atomowej, w szczególności jego </w:t>
      </w:r>
      <w:r>
        <w:rPr>
          <w:color w:val="1B1B1B"/>
        </w:rPr>
        <w:t>art. 31</w:t>
      </w:r>
      <w:r>
        <w:rPr>
          <w:color w:val="000000"/>
        </w:rPr>
        <w:t>,</w:t>
      </w:r>
    </w:p>
    <w:p w:rsidR="00DF1EB6" w:rsidRDefault="002F1DC5">
      <w:pPr>
        <w:spacing w:before="25" w:after="0"/>
        <w:jc w:val="center"/>
      </w:pPr>
      <w:r>
        <w:rPr>
          <w:color w:val="000000"/>
        </w:rPr>
        <w:t>uwzględniając wniosek Komisji Europejskiej,</w:t>
      </w:r>
    </w:p>
    <w:p w:rsidR="00DF1EB6" w:rsidRDefault="002F1DC5">
      <w:pPr>
        <w:spacing w:before="25" w:after="0"/>
        <w:jc w:val="center"/>
      </w:pPr>
      <w:r>
        <w:rPr>
          <w:color w:val="000000"/>
        </w:rPr>
        <w:t>po przekazaniu projekt aktu ustawodawczego parlamentom narodowym,</w:t>
      </w:r>
    </w:p>
    <w:p w:rsidR="00DF1EB6" w:rsidRDefault="002F1DC5">
      <w:pPr>
        <w:spacing w:before="25" w:after="0"/>
        <w:jc w:val="center"/>
      </w:pPr>
      <w:r>
        <w:rPr>
          <w:color w:val="000000"/>
        </w:rPr>
        <w:t xml:space="preserve">uwzględniając opinię Trybunału Obrachunkowego </w:t>
      </w:r>
      <w:r>
        <w:rPr>
          <w:color w:val="000000"/>
          <w:vertAlign w:val="superscript"/>
        </w:rPr>
        <w:t>1</w:t>
      </w:r>
      <w:r>
        <w:rPr>
          <w:color w:val="000000"/>
        </w:rPr>
        <w:t xml:space="preserve"> ,</w:t>
      </w:r>
    </w:p>
    <w:p w:rsidR="00DF1EB6" w:rsidRDefault="002F1DC5">
      <w:pPr>
        <w:spacing w:before="25" w:after="0"/>
        <w:jc w:val="center"/>
      </w:pPr>
      <w:r>
        <w:rPr>
          <w:color w:val="000000"/>
        </w:rPr>
        <w:t>uwzględniając opinię Europejs</w:t>
      </w:r>
      <w:r>
        <w:rPr>
          <w:color w:val="000000"/>
        </w:rPr>
        <w:t xml:space="preserve">kiego Komitetu Ekonomiczno-Społecznego </w:t>
      </w:r>
      <w:r>
        <w:rPr>
          <w:color w:val="000000"/>
          <w:vertAlign w:val="superscript"/>
        </w:rPr>
        <w:t>2</w:t>
      </w:r>
      <w:r>
        <w:rPr>
          <w:color w:val="000000"/>
        </w:rPr>
        <w:t xml:space="preserve"> ,</w:t>
      </w:r>
    </w:p>
    <w:p w:rsidR="00DF1EB6" w:rsidRDefault="002F1DC5">
      <w:pPr>
        <w:spacing w:before="25" w:after="0"/>
        <w:jc w:val="center"/>
      </w:pPr>
      <w:r>
        <w:rPr>
          <w:color w:val="000000"/>
        </w:rPr>
        <w:t>po konsultacji z Komitetem Regionów,</w:t>
      </w:r>
    </w:p>
    <w:p w:rsidR="00DF1EB6" w:rsidRDefault="002F1DC5">
      <w:pPr>
        <w:spacing w:before="25" w:after="0"/>
        <w:jc w:val="center"/>
      </w:pPr>
      <w:r>
        <w:rPr>
          <w:color w:val="000000"/>
        </w:rPr>
        <w:t xml:space="preserve">uwzględniając opinię z dnia 30 listopada 2018 r. przedstawioną przez grupę ekspertów, o której mowa w </w:t>
      </w:r>
      <w:r>
        <w:rPr>
          <w:color w:val="1B1B1B"/>
        </w:rPr>
        <w:t>art. 31</w:t>
      </w:r>
      <w:r>
        <w:rPr>
          <w:color w:val="000000"/>
        </w:rPr>
        <w:t xml:space="preserve"> Traktatu ustanawiającego Europejską Wspólnotę Energii Atomowej,</w:t>
      </w:r>
    </w:p>
    <w:p w:rsidR="00DF1EB6" w:rsidRDefault="002F1DC5">
      <w:pPr>
        <w:spacing w:before="25" w:after="0"/>
        <w:jc w:val="center"/>
      </w:pPr>
      <w:r>
        <w:rPr>
          <w:color w:val="000000"/>
        </w:rPr>
        <w:t xml:space="preserve">stanowiąc zgodnie ze zwykłą procedurą ustawodawczą </w:t>
      </w:r>
      <w:r>
        <w:rPr>
          <w:color w:val="000000"/>
          <w:vertAlign w:val="superscript"/>
        </w:rPr>
        <w:t>3</w:t>
      </w:r>
      <w:r>
        <w:rPr>
          <w:color w:val="000000"/>
        </w:rPr>
        <w:t xml:space="preserve"> ,</w:t>
      </w:r>
    </w:p>
    <w:p w:rsidR="00DF1EB6" w:rsidRDefault="002F1DC5">
      <w:pPr>
        <w:spacing w:before="80" w:after="0"/>
        <w:jc w:val="center"/>
      </w:pPr>
      <w:r>
        <w:rPr>
          <w:color w:val="000000"/>
        </w:rPr>
        <w:t>a także mając na uwadze, co następuje:</w:t>
      </w:r>
    </w:p>
    <w:p w:rsidR="00DF1EB6" w:rsidRDefault="002F1DC5">
      <w:pPr>
        <w:spacing w:before="25" w:after="0"/>
      </w:pPr>
      <w:r>
        <w:rPr>
          <w:color w:val="000000"/>
        </w:rPr>
        <w:t xml:space="preserve">(1) Osoby pracujące dla organizacji publicznej lub prywatnej lub utrzymujące kontakt z taka organizacją w związku ze swoją działalnością zawodową niejednokrotnie </w:t>
      </w:r>
      <w:r>
        <w:rPr>
          <w:color w:val="000000"/>
        </w:rPr>
        <w:t>jako pierwsze dowiadują się o zagrożeniach lub szkodach dla interesu publicznego, do jakich dochodzi w tym kontekście. Zgłaszając naruszenia prawa Unii, które są szkodliwe dla interesu publicznego, osoby takie działają jako "sygnaliści" i tym samym odgrywa</w:t>
      </w:r>
      <w:r>
        <w:rPr>
          <w:color w:val="000000"/>
        </w:rPr>
        <w:t>ją kluczową rolę w ujawnianiu takich naruszeń i zapobieganiu im oraz w ochronie dobra społecznego. Potencjalni sygnaliści często jednak rezygnują ze zgłaszania swoich zastrzeżeń lub podejrzeń z obawy przed działaniami odwetowymi. W związku z tym w coraz wi</w:t>
      </w:r>
      <w:r>
        <w:rPr>
          <w:color w:val="000000"/>
        </w:rPr>
        <w:t xml:space="preserve">ększym stopniu uznaje </w:t>
      </w:r>
      <w:r>
        <w:rPr>
          <w:color w:val="000000"/>
        </w:rPr>
        <w:lastRenderedPageBreak/>
        <w:t>się, zarówno na poziomie unijnym, jak i międzynarodowym, znaczenie zapewnienia zrównoważonej i skutecznej ochrony sygnalistów.</w:t>
      </w:r>
    </w:p>
    <w:p w:rsidR="00DF1EB6" w:rsidRDefault="002F1DC5">
      <w:pPr>
        <w:spacing w:before="25" w:after="0"/>
      </w:pPr>
      <w:r>
        <w:rPr>
          <w:color w:val="000000"/>
        </w:rPr>
        <w:t>(2) Na poziomie Unii, dokonywane przez sygnalistów zgłoszenia i ujawnianie publiczne dotyczące naruszeń sta</w:t>
      </w:r>
      <w:r>
        <w:rPr>
          <w:color w:val="000000"/>
        </w:rPr>
        <w:t>nowią jeden z elementów oddolnego egzekwowania prawa i polityk Unii. Dostarczają one informacji na potrzeby krajowych i unijnych systemów egzekwowania prawa, umożliwiając skuteczne wykrywanie przypadków naruszenia prawa Unii, prowadzenie postępowań wyjaśni</w:t>
      </w:r>
      <w:r>
        <w:rPr>
          <w:color w:val="000000"/>
        </w:rPr>
        <w:t xml:space="preserve">ających w sprawie tych naruszeń oraz ich ścigania, tym samym zwiększając przejrzystość i </w:t>
      </w:r>
      <w:proofErr w:type="spellStart"/>
      <w:r>
        <w:rPr>
          <w:color w:val="000000"/>
        </w:rPr>
        <w:t>rozliczalność</w:t>
      </w:r>
      <w:proofErr w:type="spellEnd"/>
      <w:r>
        <w:rPr>
          <w:color w:val="000000"/>
        </w:rPr>
        <w:t>.</w:t>
      </w:r>
    </w:p>
    <w:p w:rsidR="00DF1EB6" w:rsidRDefault="002F1DC5">
      <w:pPr>
        <w:spacing w:before="25" w:after="0"/>
      </w:pPr>
      <w:r>
        <w:rPr>
          <w:color w:val="000000"/>
        </w:rPr>
        <w:t>(3) W niektórych dziedzinach polityki przypadki naruszenia prawa Unii - niezależnie od tego, czy są kwalifikowane w świetle prawa krajowego jako narusze</w:t>
      </w:r>
      <w:r>
        <w:rPr>
          <w:color w:val="000000"/>
        </w:rPr>
        <w:t>nia prawa administracyjnego, prawa karnego czy naruszenia innego rodzaju - mogą wyrządzić poważną szkodę interesowi publicznemu, ponieważ stwarzają poważne ryzyko dla dobra społecznego. W przypadku stwierdzenia braków w zakresie egzekwowania prawa w tych d</w:t>
      </w:r>
      <w:r>
        <w:rPr>
          <w:color w:val="000000"/>
        </w:rPr>
        <w:t>ziedzinach, a sygnaliści są zwykle najlepiej usytuowani do tego, by ujawniać naruszenia prawa, należy poprawić egzekwowanie prawa poprzez wprowadzenie skutecznych, poufnych i bezpiecznych kanałów dokonywania zgłoszeń i poprzez zapewnienie sygnalistom skute</w:t>
      </w:r>
      <w:r>
        <w:rPr>
          <w:color w:val="000000"/>
        </w:rPr>
        <w:t>cznej ochrony przed działaniami odwetowymi.</w:t>
      </w:r>
    </w:p>
    <w:p w:rsidR="00DF1EB6" w:rsidRDefault="002F1DC5">
      <w:pPr>
        <w:spacing w:before="25" w:after="0"/>
      </w:pPr>
      <w:r>
        <w:rPr>
          <w:color w:val="000000"/>
        </w:rPr>
        <w:t>(4) Mechanizm ochrony sygnalistów funkcjonujący obecnie w Unii jest ukształtowany niejednolicie w poszczególnych państwach członkowskich i dziedzinach polityki. Konsekwencje zgłoszonych przez sygnalistów naruszeń</w:t>
      </w:r>
      <w:r>
        <w:rPr>
          <w:color w:val="000000"/>
        </w:rPr>
        <w:t xml:space="preserve"> prawa Unii o wymiarze </w:t>
      </w:r>
      <w:proofErr w:type="spellStart"/>
      <w:r>
        <w:rPr>
          <w:color w:val="000000"/>
        </w:rPr>
        <w:t>transgranicznym</w:t>
      </w:r>
      <w:proofErr w:type="spellEnd"/>
      <w:r>
        <w:rPr>
          <w:color w:val="000000"/>
        </w:rPr>
        <w:t xml:space="preserve"> pokazują, w jaki sposób niewystarczający poziom ochrony w jednym państwie członkowskim wpływa niekorzystnie na funkcjonowanie polityk Unii nie tylko w tym państwie członkowskim, ale również w innych państwach członkow</w:t>
      </w:r>
      <w:r>
        <w:rPr>
          <w:color w:val="000000"/>
        </w:rPr>
        <w:t>skich oraz w Unii jako całości.</w:t>
      </w:r>
    </w:p>
    <w:p w:rsidR="00DF1EB6" w:rsidRDefault="002F1DC5">
      <w:pPr>
        <w:spacing w:before="25" w:after="0"/>
      </w:pPr>
      <w:r>
        <w:rPr>
          <w:color w:val="000000"/>
        </w:rPr>
        <w:t>(5) Wspólne normy minimalne zapewniające sygnalistom skuteczną ochronę powinny obowiązywać w odniesieniu do aktów i dziedzin polityki, w przypadku których zachodzi konieczność poprawy egzekwowania prawa, niski poziom zgłasza</w:t>
      </w:r>
      <w:r>
        <w:rPr>
          <w:color w:val="000000"/>
        </w:rPr>
        <w:t>nia naruszeń przez sygnalistów stanowi jeden z kluczowych czynników wywierających wpływ na egzekwowanie prawa oraz naruszenia prawa Unii mogą wyrządzić poważną szkodę interesowi publicznemu. Państwa członkowskie mogą zdecydować o rozszerzeniu zakresu stoso</w:t>
      </w:r>
      <w:r>
        <w:rPr>
          <w:color w:val="000000"/>
        </w:rPr>
        <w:t>wania przepisów krajowych na inne dziedziny w celu zapewnienia kompleksowych i spójnych regulacji prawnych dotyczących ochrony sygnalistów na poziomie krajowym.</w:t>
      </w:r>
    </w:p>
    <w:p w:rsidR="00DF1EB6" w:rsidRDefault="002F1DC5">
      <w:pPr>
        <w:spacing w:before="25" w:after="0"/>
      </w:pPr>
      <w:r>
        <w:rPr>
          <w:color w:val="000000"/>
        </w:rPr>
        <w:t>(6) Ochrona sygnalistów jest konieczna do poprawienia egzekwowania prawa Unii w dziedzinie zamó</w:t>
      </w:r>
      <w:r>
        <w:rPr>
          <w:color w:val="000000"/>
        </w:rPr>
        <w:t>wień publicznych. Konieczne jest nie tylko - w kontekście wykonywania budżetu Unii - przeciwdziałanie i wykrywanie związanych z zamówieniami przypadków nadużyć finansowych i korupcji, ale również zajęcie się niewystarczająco skutecznym egzekwowaniem przepi</w:t>
      </w:r>
      <w:r>
        <w:rPr>
          <w:color w:val="000000"/>
        </w:rPr>
        <w:t>sów w dziedzinie zamówień publicznych przez krajowe instytucje zamawiające i podmioty zamawiające w związku z wykonaniem robót budowlanych, dostawą produktów lub świadczeniem usług. Przypadki naruszenia takich przepisów prowadzą do zakłóceń konkurencji, zw</w:t>
      </w:r>
      <w:r>
        <w:rPr>
          <w:color w:val="000000"/>
        </w:rPr>
        <w:t xml:space="preserve">iększają koszty prowadzenia działalności gospodarczej, szkodzą interesom inwestorów i akcjonariuszy lub wspólników oraz, w ogólnym ujęciu, zmniejszają atrakcyjność inwestycyjną i przyczyniają się do powstawania </w:t>
      </w:r>
      <w:r>
        <w:rPr>
          <w:color w:val="000000"/>
        </w:rPr>
        <w:lastRenderedPageBreak/>
        <w:t xml:space="preserve">nierównych szans dla przedsiębiorstw w Unii, </w:t>
      </w:r>
      <w:r>
        <w:rPr>
          <w:color w:val="000000"/>
        </w:rPr>
        <w:t>co wpływa na prawidłowe funkcjonowanie rynku wewnętrznego.</w:t>
      </w:r>
    </w:p>
    <w:p w:rsidR="00DF1EB6" w:rsidRDefault="002F1DC5">
      <w:pPr>
        <w:spacing w:before="25" w:after="0"/>
      </w:pPr>
      <w:r>
        <w:rPr>
          <w:color w:val="000000"/>
        </w:rPr>
        <w:t>(7) Prawodawca unijny uznał już wartość dodaną wynikającą z zapewnienia ochrony sygnalistom w dziedzinie usług finansowych. W wyniku kryzysu finansowego, który odsłonił poważne niedociągnięcia w kw</w:t>
      </w:r>
      <w:r>
        <w:rPr>
          <w:color w:val="000000"/>
        </w:rPr>
        <w:t>estii egzekwowania istotnych przepisów, w znacznej liczbie aktów ustawodawczych w dziedzinie usług finansowych wprowadzano środki ochrony sygnalistów, w tym przewidujące utworzenie zewnętrznych i wewnętrznych kanałów dokonywania zgłoszeń, a także wyraźny z</w:t>
      </w:r>
      <w:r>
        <w:rPr>
          <w:color w:val="000000"/>
        </w:rPr>
        <w:t xml:space="preserve">akaz działań odwetowych, jak wskazano w komunikacie Komisji z dnia 8 grudnia 2010 r. pt. "Wzmocnienie systemów sankcji w branży usług finansowych". W szczególności w kontekście ram </w:t>
      </w:r>
      <w:proofErr w:type="spellStart"/>
      <w:r>
        <w:rPr>
          <w:color w:val="000000"/>
        </w:rPr>
        <w:t>ostrożnościowych</w:t>
      </w:r>
      <w:proofErr w:type="spellEnd"/>
      <w:r>
        <w:rPr>
          <w:color w:val="000000"/>
        </w:rPr>
        <w:t xml:space="preserve"> mających zastosowanie do instytucji kredytowych i firm inw</w:t>
      </w:r>
      <w:r>
        <w:rPr>
          <w:color w:val="000000"/>
        </w:rPr>
        <w:t xml:space="preserve">estycyjnych w </w:t>
      </w:r>
      <w:r>
        <w:rPr>
          <w:color w:val="1B1B1B"/>
        </w:rPr>
        <w:t>dyrektywie</w:t>
      </w:r>
      <w:r>
        <w:rPr>
          <w:color w:val="000000"/>
        </w:rPr>
        <w:t xml:space="preserve"> Parlamentu Europejskiego i Rady 2013/36/UE </w:t>
      </w:r>
      <w:r>
        <w:rPr>
          <w:color w:val="000000"/>
          <w:vertAlign w:val="superscript"/>
        </w:rPr>
        <w:t>4</w:t>
      </w:r>
      <w:r>
        <w:rPr>
          <w:color w:val="000000"/>
        </w:rPr>
        <w:t xml:space="preserve">  przewidziano ochronę sygnalistów, która znajduje zastosowanie w kontekście </w:t>
      </w:r>
      <w:r>
        <w:rPr>
          <w:color w:val="1B1B1B"/>
        </w:rPr>
        <w:t>rozporządzenia</w:t>
      </w:r>
      <w:r>
        <w:rPr>
          <w:color w:val="000000"/>
        </w:rPr>
        <w:t xml:space="preserve"> Parlamentu Europejskiego i Rady (UE) nr 575/2013 </w:t>
      </w:r>
      <w:r>
        <w:rPr>
          <w:color w:val="000000"/>
          <w:vertAlign w:val="superscript"/>
        </w:rPr>
        <w:t>5</w:t>
      </w:r>
      <w:r>
        <w:rPr>
          <w:color w:val="000000"/>
        </w:rPr>
        <w:t xml:space="preserve"> .</w:t>
      </w:r>
    </w:p>
    <w:p w:rsidR="00DF1EB6" w:rsidRDefault="002F1DC5">
      <w:pPr>
        <w:spacing w:before="25" w:after="0"/>
      </w:pPr>
      <w:r>
        <w:rPr>
          <w:color w:val="000000"/>
        </w:rPr>
        <w:t>(8) W odniesieniu do bezpieczeństwa produk</w:t>
      </w:r>
      <w:r>
        <w:rPr>
          <w:color w:val="000000"/>
        </w:rPr>
        <w:t>tów wprowadzanych na rynek wewnętrzny, głównym źródłem dowodów są przedsiębiorstwa działające w ramach łańcucha produkcyjnego i sieci dystrybucji, co sprawia, że zgłaszanie przez sygnalistów w takich przedsiębiorstwach ma dużą wartość dodaną, ponieważ znaj</w:t>
      </w:r>
      <w:r>
        <w:rPr>
          <w:color w:val="000000"/>
        </w:rPr>
        <w:t>dują się oni znacznie bliżej informacji o ewentualnych nieuczciwych i nielegalnych praktykach związanych z wytwarzaniem, przywozem lub dystrybucją niebezpiecznych produktów. W rezultacie istnieje potrzeba wprowadzenia ochrony sygnalistów w związku z wymoga</w:t>
      </w:r>
      <w:r>
        <w:rPr>
          <w:color w:val="000000"/>
        </w:rPr>
        <w:t xml:space="preserve">mi bezpieczeństwa mającymi zastosowanie do produktów regulowanych unijnym prawodawstwem </w:t>
      </w:r>
      <w:proofErr w:type="spellStart"/>
      <w:r>
        <w:rPr>
          <w:color w:val="000000"/>
        </w:rPr>
        <w:t>harmonizacyjnym</w:t>
      </w:r>
      <w:proofErr w:type="spellEnd"/>
      <w:r>
        <w:rPr>
          <w:color w:val="000000"/>
        </w:rPr>
        <w:t xml:space="preserve"> określonymi w </w:t>
      </w:r>
      <w:r>
        <w:rPr>
          <w:color w:val="1B1B1B"/>
        </w:rPr>
        <w:t>załącznikach I</w:t>
      </w:r>
      <w:r>
        <w:rPr>
          <w:color w:val="000000"/>
        </w:rPr>
        <w:t xml:space="preserve"> </w:t>
      </w:r>
      <w:proofErr w:type="spellStart"/>
      <w:r>
        <w:rPr>
          <w:color w:val="000000"/>
        </w:rPr>
        <w:t>i</w:t>
      </w:r>
      <w:proofErr w:type="spellEnd"/>
      <w:r>
        <w:rPr>
          <w:color w:val="000000"/>
        </w:rPr>
        <w:t xml:space="preserve"> </w:t>
      </w:r>
      <w:r>
        <w:rPr>
          <w:color w:val="1B1B1B"/>
        </w:rPr>
        <w:t>II</w:t>
      </w:r>
      <w:r>
        <w:rPr>
          <w:color w:val="000000"/>
        </w:rPr>
        <w:t xml:space="preserve"> do rozporządzenia Parlamentu Europejskiego i Rady (UE) 2019/1020 </w:t>
      </w:r>
      <w:r>
        <w:rPr>
          <w:color w:val="000000"/>
          <w:vertAlign w:val="superscript"/>
        </w:rPr>
        <w:t>6</w:t>
      </w:r>
      <w:r>
        <w:rPr>
          <w:color w:val="000000"/>
        </w:rPr>
        <w:t xml:space="preserve">  oraz w związku z wymogami ogólnego bezpieczeństwa </w:t>
      </w:r>
      <w:r>
        <w:rPr>
          <w:color w:val="000000"/>
        </w:rPr>
        <w:t xml:space="preserve">produktów ustanowionymi w </w:t>
      </w:r>
      <w:r>
        <w:rPr>
          <w:color w:val="1B1B1B"/>
        </w:rPr>
        <w:t>dyrektywie</w:t>
      </w:r>
      <w:r>
        <w:rPr>
          <w:color w:val="000000"/>
        </w:rPr>
        <w:t xml:space="preserve"> 2001/95/WE Parlamentu Europejskiego i Rady </w:t>
      </w:r>
      <w:r>
        <w:rPr>
          <w:color w:val="000000"/>
          <w:vertAlign w:val="superscript"/>
        </w:rPr>
        <w:t>7</w:t>
      </w:r>
      <w:r>
        <w:rPr>
          <w:color w:val="000000"/>
        </w:rPr>
        <w:t xml:space="preserve"> . Ochrona sygnalistów przewidziana w niniejszej dyrektywie miałaby również kluczowe znaczenie dla zapobiegania </w:t>
      </w:r>
      <w:proofErr w:type="spellStart"/>
      <w:r>
        <w:rPr>
          <w:color w:val="000000"/>
        </w:rPr>
        <w:t>przekierowywaniu</w:t>
      </w:r>
      <w:proofErr w:type="spellEnd"/>
      <w:r>
        <w:rPr>
          <w:color w:val="000000"/>
        </w:rPr>
        <w:t xml:space="preserve"> broni palnej, elementów takiej broni i jej czę</w:t>
      </w:r>
      <w:r>
        <w:rPr>
          <w:color w:val="000000"/>
        </w:rPr>
        <w:t>ści składowych oraz amunicji, jak również produktów związanych z obronnością, ponieważ stanowiłaby zachętę do zgłaszania naruszeń prawa Unii, takich jak: przestępstwa przeciwko wiarygodności dokumentów, modyfikowanie oznakowania i pozyskiwanie broni palnej</w:t>
      </w:r>
      <w:r>
        <w:rPr>
          <w:color w:val="000000"/>
        </w:rPr>
        <w:t xml:space="preserve"> w nieuczciwy sposób w Unii, w przypadku których naruszenia przepisów często wiążą się z </w:t>
      </w:r>
      <w:proofErr w:type="spellStart"/>
      <w:r>
        <w:rPr>
          <w:color w:val="000000"/>
        </w:rPr>
        <w:t>przekierowywaniem</w:t>
      </w:r>
      <w:proofErr w:type="spellEnd"/>
      <w:r>
        <w:rPr>
          <w:color w:val="000000"/>
        </w:rPr>
        <w:t xml:space="preserve"> broni palnej z rynku legalnego na rynek nielegalny. Ochrona sygnalistów przewidziana w niniejszej dyrektywie przyczyniłaby się również do przeciwdzia</w:t>
      </w:r>
      <w:r>
        <w:rPr>
          <w:color w:val="000000"/>
        </w:rPr>
        <w:t>łania nielegalnemu wytwarzaniu materiałów wybuchowych domowym sposobem, wnosząc wkład w zagwarantowanie prawidłowego stosowania ograniczeń i przeprowadzania kontroli w odniesieniu do prekursorów materiałów wybuchowych.</w:t>
      </w:r>
    </w:p>
    <w:p w:rsidR="00DF1EB6" w:rsidRDefault="002F1DC5">
      <w:pPr>
        <w:spacing w:before="25" w:after="0"/>
      </w:pPr>
      <w:r>
        <w:rPr>
          <w:color w:val="000000"/>
        </w:rPr>
        <w:t>(9) Znaczenie, jakie ochrona sygnalis</w:t>
      </w:r>
      <w:r>
        <w:rPr>
          <w:color w:val="000000"/>
        </w:rPr>
        <w:t>tów ma w kontekście przeciwdziałania przypadkom naruszania przepisów Unii w zakresie bezpieczeństwa transportu, które stwarzają zagrożenie dla życia ludzkiego, i zniechęcania do naruszania tych przepisów znalazło już potwierdzenie w sektorowych aktach unij</w:t>
      </w:r>
      <w:r>
        <w:rPr>
          <w:color w:val="000000"/>
        </w:rPr>
        <w:t xml:space="preserve">nych dotyczących bezpieczeństwa lotniczego, a konkretnie w </w:t>
      </w:r>
      <w:r>
        <w:rPr>
          <w:color w:val="1B1B1B"/>
        </w:rPr>
        <w:t>rozporządzeniu</w:t>
      </w:r>
      <w:r>
        <w:rPr>
          <w:color w:val="000000"/>
        </w:rPr>
        <w:t xml:space="preserve"> Parlamentu Europejskiego i Rady (EU) nr 376/2014 </w:t>
      </w:r>
      <w:r>
        <w:rPr>
          <w:color w:val="000000"/>
          <w:vertAlign w:val="superscript"/>
        </w:rPr>
        <w:t>8</w:t>
      </w:r>
      <w:r>
        <w:rPr>
          <w:color w:val="000000"/>
        </w:rPr>
        <w:t xml:space="preserve"> , i bezpieczeństwa transportu morskiego, a konkretnie w dyrektywach Parlamentu Europejskiego i Rady </w:t>
      </w:r>
      <w:r>
        <w:rPr>
          <w:color w:val="1B1B1B"/>
        </w:rPr>
        <w:lastRenderedPageBreak/>
        <w:t>2013/54/UE</w:t>
      </w:r>
      <w:r>
        <w:rPr>
          <w:color w:val="000000"/>
        </w:rPr>
        <w:t xml:space="preserve"> </w:t>
      </w:r>
      <w:r>
        <w:rPr>
          <w:color w:val="000000"/>
          <w:vertAlign w:val="superscript"/>
        </w:rPr>
        <w:t>9</w:t>
      </w:r>
      <w:r>
        <w:rPr>
          <w:color w:val="000000"/>
        </w:rPr>
        <w:t xml:space="preserve">  i </w:t>
      </w:r>
      <w:r>
        <w:rPr>
          <w:color w:val="1B1B1B"/>
        </w:rPr>
        <w:t>2009/16/WE</w:t>
      </w:r>
      <w:r>
        <w:rPr>
          <w:color w:val="000000"/>
        </w:rPr>
        <w:t xml:space="preserve"> </w:t>
      </w:r>
      <w:r>
        <w:rPr>
          <w:color w:val="000000"/>
          <w:vertAlign w:val="superscript"/>
        </w:rPr>
        <w:t>10</w:t>
      </w:r>
      <w:r>
        <w:rPr>
          <w:color w:val="000000"/>
        </w:rPr>
        <w:t xml:space="preserve"> ,</w:t>
      </w:r>
      <w:r>
        <w:rPr>
          <w:color w:val="000000"/>
        </w:rPr>
        <w:t xml:space="preserve"> w których ustanowiono dostosowane środki ochrony sygnalistów, jak również szczególne kanały dokonywania zgłoszeń. We wspomnianych aktach przewidziano również ochronę pracowników przed działaniami odwetowymi w sytuacji, gdy zgłaszają oni swoje własne nieza</w:t>
      </w:r>
      <w:r>
        <w:rPr>
          <w:color w:val="000000"/>
        </w:rPr>
        <w:t>mierzone błędy (tzw. "kultura sprawiedliwego traktowania"). Należy uzupełnić istniejące elementy ochrony sygnalistów w tych dwóch sektorach, a także zapewnić ochronę w przypadku innych rodzajów transportu, a mianowicie żeglugi śródlądowej, transportu drogo</w:t>
      </w:r>
      <w:r>
        <w:rPr>
          <w:color w:val="000000"/>
        </w:rPr>
        <w:t>wego i kolejowego, by można było poprawić egzekwowanie norm bezpieczeństwa w przypadku tych rodzajów transportu.</w:t>
      </w:r>
    </w:p>
    <w:p w:rsidR="00DF1EB6" w:rsidRDefault="002F1DC5">
      <w:pPr>
        <w:spacing w:before="25" w:after="0"/>
      </w:pPr>
      <w:r>
        <w:rPr>
          <w:color w:val="000000"/>
        </w:rPr>
        <w:t>(10) W dziedzinie ochrony środowiska, gromadzenie dowodów dotyczących przestępstw przeciwko środowisku i przypadków podejmowania bezprawnych dz</w:t>
      </w:r>
      <w:r>
        <w:rPr>
          <w:color w:val="000000"/>
        </w:rPr>
        <w:t>iałań przeciwko ochronie środowiska, zapobieganie im, wykrywanie ich oraz ich zwalczanie stanowi wyzwanie i działania prowadzone w tym obszarze muszą zostać wzmocnione, na co zwróciła uwagę Komisja w swoim komunikacie z dnia 18 stycznia 2018 r. pt. "Działa</w:t>
      </w:r>
      <w:r>
        <w:rPr>
          <w:color w:val="000000"/>
        </w:rPr>
        <w:t>nia UE na rzecz poprawy przestrzegania prawa ochrony środowiska i zarządzania środowiskiem". Z uwagi na fakt, iż przed wejściem w życie niniejszej dyrektywy jedyne istniejące przepisy zapewniające sygnalistom ochronę w odniesieniu do ochrony przyrody przew</w:t>
      </w:r>
      <w:r>
        <w:rPr>
          <w:color w:val="000000"/>
        </w:rPr>
        <w:t xml:space="preserve">idziano w jednym sektorowym akcie, a konkretnie w </w:t>
      </w:r>
      <w:r>
        <w:rPr>
          <w:color w:val="1B1B1B"/>
        </w:rPr>
        <w:t>dyrektywie</w:t>
      </w:r>
      <w:r>
        <w:rPr>
          <w:color w:val="000000"/>
        </w:rPr>
        <w:t xml:space="preserve"> Parlamentu Europejskiego i Rady 2013/30/EU </w:t>
      </w:r>
      <w:r>
        <w:rPr>
          <w:color w:val="000000"/>
          <w:vertAlign w:val="superscript"/>
        </w:rPr>
        <w:t>11</w:t>
      </w:r>
      <w:r>
        <w:rPr>
          <w:color w:val="000000"/>
        </w:rPr>
        <w:t xml:space="preserve"> , wprowadzenie ochrony sygnalistów jest konieczne do zapewnienia skutecznego egzekwowania dorobku prawnego Unii w zakresie ochrony środowiska, któreg</w:t>
      </w:r>
      <w:r>
        <w:rPr>
          <w:color w:val="000000"/>
        </w:rPr>
        <w:t>o naruszanie może wyrządzać szkodę interesowi publicznemu i potencjalnie wywołać negatywne skutki wykraczające poza granice państw. Wprowadzenie takiej ochrony ma również znaczenie w przypadkach, w których niebezpieczne produkty mogą wyrządzać szkodę środo</w:t>
      </w:r>
      <w:r>
        <w:rPr>
          <w:color w:val="000000"/>
        </w:rPr>
        <w:t>wisku.</w:t>
      </w:r>
    </w:p>
    <w:p w:rsidR="00DF1EB6" w:rsidRDefault="002F1DC5">
      <w:pPr>
        <w:spacing w:before="25" w:after="0"/>
      </w:pPr>
      <w:r>
        <w:rPr>
          <w:color w:val="000000"/>
        </w:rPr>
        <w:t>(11) Wzmocnienie ochrony sygnalistów przyczyniłoby się również do zapobiegania naruszeniom przepisów Europejskiej Wspólnoty Energii Atomowej w zakresie bezpieczeństwa jądrowego, ochrony radiologicznej oraz odpowiedzialnego i bezpiecznego gospodarowa</w:t>
      </w:r>
      <w:r>
        <w:rPr>
          <w:color w:val="000000"/>
        </w:rPr>
        <w:t xml:space="preserve">nia wypalonym paliwem jądrowym i odpadami promieniotwórczymi oraz do zniechęcania do naruszania tych przepisów. Ochrona ta poprawiłaby również egzekwowanie odpowiednich przepisów dyrektywy Rady 2009/71/Euratom </w:t>
      </w:r>
      <w:r>
        <w:rPr>
          <w:color w:val="000000"/>
          <w:vertAlign w:val="superscript"/>
        </w:rPr>
        <w:t>12</w:t>
      </w:r>
      <w:r>
        <w:rPr>
          <w:color w:val="000000"/>
        </w:rPr>
        <w:t xml:space="preserve">  regulujących wspieranie i wzmacnianie skut</w:t>
      </w:r>
      <w:r>
        <w:rPr>
          <w:color w:val="000000"/>
        </w:rPr>
        <w:t>ecznej kultury bezpieczeństwa jądrowego oraz, w szczególności, w kwestiach uregulowanych w art. 8b ust. 2 lit. a) tej dyrektywy, na mocy którego na właściwy organ regulacyjny nałożono m.in. wymóg ustanowienia systemów zarządzania przyznających właściwy pri</w:t>
      </w:r>
      <w:r>
        <w:rPr>
          <w:color w:val="000000"/>
        </w:rPr>
        <w:t>orytet bezpieczeństwu jądrowemu i propagujących, na wszystkich poziomach personelu i kadry zarządzającej, możliwość kwestionowania skutecznej realizacji odnośnych zasad i praktyk bezpieczeństwa oraz odpowiednio wczesnego zgłaszania przez personel problemów</w:t>
      </w:r>
      <w:r>
        <w:rPr>
          <w:color w:val="000000"/>
        </w:rPr>
        <w:t xml:space="preserve"> związanych z bezpieczeństwem.</w:t>
      </w:r>
    </w:p>
    <w:p w:rsidR="00DF1EB6" w:rsidRDefault="002F1DC5">
      <w:pPr>
        <w:spacing w:before="25" w:after="0"/>
      </w:pPr>
      <w:r>
        <w:rPr>
          <w:color w:val="000000"/>
        </w:rPr>
        <w:t>(12) Ustanowienie regulacji prawnych dotyczących sygnalistów przyczyniłoby się również do poprawy egzekwowania istniejących przepisów i zapobiegania naruszeniom przepisów Unii w zakresie łańcucha żywnościowego, a w szczególno</w:t>
      </w:r>
      <w:r>
        <w:rPr>
          <w:color w:val="000000"/>
        </w:rPr>
        <w:t xml:space="preserve">ści w kwestiach dotyczących bezpieczeństwa żywności i pasz, a także zdrowia i dobrostanu zwierząt oraz ochrony zwierząt. Poszczególne przepisy unijne ustanowione w tych dziedzinach są ze sobą ściśle powiązane. W </w:t>
      </w:r>
      <w:r>
        <w:rPr>
          <w:color w:val="1B1B1B"/>
        </w:rPr>
        <w:t>rozporządzeniu</w:t>
      </w:r>
      <w:r>
        <w:rPr>
          <w:color w:val="000000"/>
        </w:rPr>
        <w:t xml:space="preserve"> (WE) nr 178/2002 Parlamentu E</w:t>
      </w:r>
      <w:r>
        <w:rPr>
          <w:color w:val="000000"/>
        </w:rPr>
        <w:t xml:space="preserve">uropejskiego i Rady </w:t>
      </w:r>
      <w:r>
        <w:rPr>
          <w:color w:val="000000"/>
          <w:vertAlign w:val="superscript"/>
        </w:rPr>
        <w:t>13</w:t>
      </w:r>
      <w:r>
        <w:rPr>
          <w:color w:val="000000"/>
        </w:rPr>
        <w:t xml:space="preserve">  ustanowiono ogólne zasady i wymagania, na których opierają się wszystkie unijne i krajowe środki dotyczące żywności i pasz, ze szczególnym uwzględnieniem problematyki </w:t>
      </w:r>
      <w:r>
        <w:rPr>
          <w:color w:val="000000"/>
        </w:rPr>
        <w:lastRenderedPageBreak/>
        <w:t>bezpieczeństwa żywności, aby zapewnić wysoki poziom ochrony zdrow</w:t>
      </w:r>
      <w:r>
        <w:rPr>
          <w:color w:val="000000"/>
        </w:rPr>
        <w:t>ia ludzkiego i interesów konsumentów w kwestiach związanych z żywnością oraz aby zagwarantować sprawne funkcjonowanie rynku wewnętrznego. Rozporządzenie to stanowi między innymi, że podmioty prowadzące przedsiębiorstwa spożywcze i paszowe nie mogą zniechęc</w:t>
      </w:r>
      <w:r>
        <w:rPr>
          <w:color w:val="000000"/>
        </w:rPr>
        <w:t>ać swoich pracowników ani innych osób do współpracy z właściwymi organami, jeżeli taka współpraca może przyczynić się do zapobieżenia ryzyku związanemu z żywnością, zmniejszenia tego ryzyka lub jego wyeliminowania. Prawodawca unijny przyjął podobne podejśc</w:t>
      </w:r>
      <w:r>
        <w:rPr>
          <w:color w:val="000000"/>
        </w:rPr>
        <w:t xml:space="preserve">ie w dziedzinie zdrowia zwierząt w </w:t>
      </w:r>
      <w:r>
        <w:rPr>
          <w:color w:val="1B1B1B"/>
        </w:rPr>
        <w:t>rozporządzeniu</w:t>
      </w:r>
      <w:r>
        <w:rPr>
          <w:color w:val="000000"/>
        </w:rPr>
        <w:t xml:space="preserve"> Parlamentu Europejskiego i Rady (UE) 2016/429 </w:t>
      </w:r>
      <w:r>
        <w:rPr>
          <w:color w:val="000000"/>
          <w:vertAlign w:val="superscript"/>
        </w:rPr>
        <w:t>14</w:t>
      </w:r>
      <w:r>
        <w:rPr>
          <w:color w:val="000000"/>
        </w:rPr>
        <w:t xml:space="preserve">  ustanawiającym przepisy dotyczące zapobiegania chorobom zwierząt przenoszonym na zwierzęta lub na ludzi i kontroli tych chorób oraz w dziedzinie ochrony i d</w:t>
      </w:r>
      <w:r>
        <w:rPr>
          <w:color w:val="000000"/>
        </w:rPr>
        <w:t xml:space="preserve">obrostanu zwierząt hodowlanych wykorzystywanych do celów naukowych, ochrony i dobrostanu zwierząt podczas ich transportu oraz uśmiercania w </w:t>
      </w:r>
      <w:r>
        <w:rPr>
          <w:color w:val="1B1B1B"/>
        </w:rPr>
        <w:t>dyrektywie</w:t>
      </w:r>
      <w:r>
        <w:rPr>
          <w:color w:val="000000"/>
        </w:rPr>
        <w:t xml:space="preserve"> Rady 98/58/WE </w:t>
      </w:r>
      <w:r>
        <w:rPr>
          <w:color w:val="000000"/>
          <w:vertAlign w:val="superscript"/>
        </w:rPr>
        <w:t>15</w:t>
      </w:r>
      <w:r>
        <w:rPr>
          <w:color w:val="000000"/>
        </w:rPr>
        <w:t xml:space="preserve">  i </w:t>
      </w:r>
      <w:r>
        <w:rPr>
          <w:color w:val="1B1B1B"/>
        </w:rPr>
        <w:t>dyrektywie</w:t>
      </w:r>
      <w:r>
        <w:rPr>
          <w:color w:val="000000"/>
        </w:rPr>
        <w:t xml:space="preserve"> Parlamentu Europejskiego i Rady 2010/63/UE </w:t>
      </w:r>
      <w:r>
        <w:rPr>
          <w:color w:val="000000"/>
          <w:vertAlign w:val="superscript"/>
        </w:rPr>
        <w:t>16</w:t>
      </w:r>
      <w:r>
        <w:rPr>
          <w:color w:val="000000"/>
        </w:rPr>
        <w:t xml:space="preserve"> , a także w rozporządzeniach</w:t>
      </w:r>
      <w:r>
        <w:rPr>
          <w:color w:val="000000"/>
        </w:rPr>
        <w:t xml:space="preserve"> Rady (WE) nr 1/2005 </w:t>
      </w:r>
      <w:r>
        <w:rPr>
          <w:color w:val="000000"/>
          <w:vertAlign w:val="superscript"/>
        </w:rPr>
        <w:t>17</w:t>
      </w:r>
      <w:r>
        <w:rPr>
          <w:color w:val="000000"/>
        </w:rPr>
        <w:t xml:space="preserve">  i (WE) nr 1099/2009 </w:t>
      </w:r>
      <w:r>
        <w:rPr>
          <w:color w:val="000000"/>
          <w:vertAlign w:val="superscript"/>
        </w:rPr>
        <w:t>18</w:t>
      </w:r>
      <w:r>
        <w:rPr>
          <w:color w:val="000000"/>
        </w:rPr>
        <w:t xml:space="preserve"> .</w:t>
      </w:r>
    </w:p>
    <w:p w:rsidR="00DF1EB6" w:rsidRDefault="002F1DC5">
      <w:pPr>
        <w:spacing w:before="25" w:after="0"/>
      </w:pPr>
      <w:r>
        <w:rPr>
          <w:color w:val="000000"/>
        </w:rPr>
        <w:t xml:space="preserve">(13) Zgłaszanie przez sygnalistów naruszeń może odgrywać kluczową rolę w wykrywaniu zagrożeń dla zdrowia publicznego i ochrony konsumentów wynikających z naruszeń przepisów Unii, które w innych przypadkach </w:t>
      </w:r>
      <w:r>
        <w:rPr>
          <w:color w:val="000000"/>
        </w:rPr>
        <w:t>mogłyby pozostać nieujawnione, a także w zapobieganiu tym zagrożeniom, ich ograniczaniu lub eliminowaniu. Problematyka ochrony konsumentów jest w szczególności ściśle powiązana z przypadkami, w których produkty niebezpieczne mogą wyrządzić konsumentom powa</w:t>
      </w:r>
      <w:r>
        <w:rPr>
          <w:color w:val="000000"/>
        </w:rPr>
        <w:t>żne szkody.</w:t>
      </w:r>
    </w:p>
    <w:p w:rsidR="00DF1EB6" w:rsidRDefault="002F1DC5">
      <w:pPr>
        <w:spacing w:before="25" w:after="0"/>
      </w:pPr>
      <w:r>
        <w:rPr>
          <w:color w:val="000000"/>
        </w:rPr>
        <w:t>(14) Poszanowanie prywatności i ochrona danych osobowych, zawarte jako prawa podstawowe w art. 7 i 8 Karty praw podstawowych Unii Europejskiej (zwanej dalej "Kartą"), stanowią inne dziedziny, w których sygnaliści mogą pomóc w ujawnianiu narusze</w:t>
      </w:r>
      <w:r>
        <w:rPr>
          <w:color w:val="000000"/>
        </w:rPr>
        <w:t xml:space="preserve">ń, które mogą szkodzić interesowi publicznemu. Sygnaliści mogą również pomóc w ujawnianiu naruszeń </w:t>
      </w:r>
      <w:r>
        <w:rPr>
          <w:color w:val="1B1B1B"/>
        </w:rPr>
        <w:t>dyrektywy</w:t>
      </w:r>
      <w:r>
        <w:rPr>
          <w:color w:val="000000"/>
        </w:rPr>
        <w:t xml:space="preserve"> Parlamentu Europejskiego i Rady (UE) 2016/1148 </w:t>
      </w:r>
      <w:r>
        <w:rPr>
          <w:color w:val="000000"/>
          <w:vertAlign w:val="superscript"/>
        </w:rPr>
        <w:t>19</w:t>
      </w:r>
      <w:r>
        <w:rPr>
          <w:color w:val="000000"/>
        </w:rPr>
        <w:t xml:space="preserve">  w sprawie bezpieczeństwa sieci i informacji, w której wprowadzono wymóg zgłaszania incydentów, w</w:t>
      </w:r>
      <w:r>
        <w:rPr>
          <w:color w:val="000000"/>
        </w:rPr>
        <w:t xml:space="preserve"> tym incydentów niewiążących się z naruszeniem danych osobowych, a także wymogi w zakresie bezpieczeństwa dla podmiotów świadczących kluczowe usługi w wielu różnych sektorach, przykładowo w sektorze energetycznym, sektorze ochrony zdrowia, sektorze transpo</w:t>
      </w:r>
      <w:r>
        <w:rPr>
          <w:color w:val="000000"/>
        </w:rPr>
        <w:t>rtu i sektorze bankowości, oraz dla dostawców kluczowych usług cyfrowych, na przykład usług przetwarzania w chmurze, oraz dla dostawców podstawowych mediów, takich jak woda, energia elektryczna i gaz. Zgłaszanie przez sygnalistów w tej dziedzinie ma szczeg</w:t>
      </w:r>
      <w:r>
        <w:rPr>
          <w:color w:val="000000"/>
        </w:rPr>
        <w:t>ólną wartość dla zapobiegania incydentom bezpieczeństwa, które mogłyby wywrzeć wpływ na kluczowe obszary działalności gospodarczej i społecznej oraz na powszechnie wykorzystywane usługi cyfrowe, a także dla zapobiegania naruszeniom unijnych przepisów o och</w:t>
      </w:r>
      <w:r>
        <w:rPr>
          <w:color w:val="000000"/>
        </w:rPr>
        <w:t>ronie danych. Takie zgłaszanie ułatwia zapewnienie ciągłości świadczenia usług o kluczowym znaczeniu dla funkcjonowania rynku wewnętrznego i dla dobrostanu społeczeństwa.</w:t>
      </w:r>
    </w:p>
    <w:p w:rsidR="00DF1EB6" w:rsidRDefault="002F1DC5">
      <w:pPr>
        <w:spacing w:before="25" w:after="0"/>
      </w:pPr>
      <w:r>
        <w:rPr>
          <w:color w:val="000000"/>
        </w:rPr>
        <w:t>(15) Ponadto ochrona interesów finansowych Unii, która wiąże się ze zwalczaniem naduż</w:t>
      </w:r>
      <w:r>
        <w:rPr>
          <w:color w:val="000000"/>
        </w:rPr>
        <w:t>yć finansowych, korupcji i wszelkich innych nielegalnych działań wywierających wpływ na wydatki Unii, pobór dochodów i środków finansowych Unii lub aktywa Unii, stanowi jedną z kluczowych dziedzin, w której egzekwowanie prawa Unii wymaga poprawy. Poprawa o</w:t>
      </w:r>
      <w:r>
        <w:rPr>
          <w:color w:val="000000"/>
        </w:rPr>
        <w:t xml:space="preserve">chrony interesów finansowych Unii jest ważna również dla wykonania budżetu Unii w </w:t>
      </w:r>
      <w:r>
        <w:rPr>
          <w:color w:val="000000"/>
        </w:rPr>
        <w:lastRenderedPageBreak/>
        <w:t>odniesieniu do wydatków ponoszonych na podstawie Traktatu ustanawiającego Europejską Wspólnotę Energii Atomowej (zwanego dalej "traktatem Euratom"). Brak skutecznego egzekwow</w:t>
      </w:r>
      <w:r>
        <w:rPr>
          <w:color w:val="000000"/>
        </w:rPr>
        <w:t>ania przepisów w dziedzinie ochrony interesów finansowych Unii, w tym w zakresie przeciwdziałania nadużyciom finansowym i korupcji na poziomie krajowym, skutkuje zmniejszeniem dochodów Unii i prowadzi do niewłaściwego wykorzystania środków finansowych Unii</w:t>
      </w:r>
      <w:r>
        <w:rPr>
          <w:color w:val="000000"/>
        </w:rPr>
        <w:t xml:space="preserve">, co może zakłócić inwestycje publiczne i wzrost gospodarczy oraz obniżyć zaufanie obywateli do działań podejmowanych przez Unię. </w:t>
      </w:r>
      <w:r>
        <w:rPr>
          <w:color w:val="1B1B1B"/>
        </w:rPr>
        <w:t>Art. 325</w:t>
      </w:r>
      <w:r>
        <w:rPr>
          <w:color w:val="000000"/>
        </w:rPr>
        <w:t xml:space="preserve"> Traktatu o funkcjonowaniu Unii Europejskiej (TFUE) zobowiązuje Unię i państwa członkowskie do zwalczania nadużyć fina</w:t>
      </w:r>
      <w:r>
        <w:rPr>
          <w:color w:val="000000"/>
        </w:rPr>
        <w:t xml:space="preserve">nsowych i wszelkich innych działań nielegalnych naruszających interesy finansowe Unii. Stosowne środki Unii w tym zakresie obejmują w szczególności </w:t>
      </w:r>
      <w:r>
        <w:rPr>
          <w:color w:val="1B1B1B"/>
        </w:rPr>
        <w:t>rozporządzenie</w:t>
      </w:r>
      <w:r>
        <w:rPr>
          <w:color w:val="000000"/>
        </w:rPr>
        <w:t xml:space="preserve"> Rady (WE, Euratom) nr 2988/95 </w:t>
      </w:r>
      <w:r>
        <w:rPr>
          <w:color w:val="000000"/>
          <w:vertAlign w:val="superscript"/>
        </w:rPr>
        <w:t>20</w:t>
      </w:r>
      <w:r>
        <w:rPr>
          <w:color w:val="000000"/>
        </w:rPr>
        <w:t xml:space="preserve">  oraz </w:t>
      </w:r>
      <w:r>
        <w:rPr>
          <w:color w:val="1B1B1B"/>
        </w:rPr>
        <w:t>rozporządzenie</w:t>
      </w:r>
      <w:r>
        <w:rPr>
          <w:color w:val="000000"/>
        </w:rPr>
        <w:t xml:space="preserve"> Parlamentu Europejskiego i Rady (UE, Eu</w:t>
      </w:r>
      <w:r>
        <w:rPr>
          <w:color w:val="000000"/>
        </w:rPr>
        <w:t xml:space="preserve">ratom) nr 883/2013 </w:t>
      </w:r>
      <w:r>
        <w:rPr>
          <w:color w:val="000000"/>
          <w:vertAlign w:val="superscript"/>
        </w:rPr>
        <w:t>21</w:t>
      </w:r>
      <w:r>
        <w:rPr>
          <w:color w:val="000000"/>
        </w:rPr>
        <w:t xml:space="preserve"> . </w:t>
      </w:r>
      <w:r>
        <w:rPr>
          <w:color w:val="1B1B1B"/>
        </w:rPr>
        <w:t>Rozporządzenie</w:t>
      </w:r>
      <w:r>
        <w:rPr>
          <w:color w:val="000000"/>
        </w:rPr>
        <w:t xml:space="preserve"> (WE, Euratom) nr 2988/95 uzupełnia, w odniesieniu do najpoważniejszych rodzajów działań związanych z nadużyciami finansowymi, </w:t>
      </w:r>
      <w:r>
        <w:rPr>
          <w:color w:val="1B1B1B"/>
        </w:rPr>
        <w:t>dyrektywa</w:t>
      </w:r>
      <w:r>
        <w:rPr>
          <w:color w:val="000000"/>
        </w:rPr>
        <w:t xml:space="preserve"> Parlamentu Europejskiego i Rady (UE) 2017/1371 </w:t>
      </w:r>
      <w:r>
        <w:rPr>
          <w:color w:val="000000"/>
          <w:vertAlign w:val="superscript"/>
        </w:rPr>
        <w:t>22</w:t>
      </w:r>
      <w:r>
        <w:rPr>
          <w:color w:val="000000"/>
        </w:rPr>
        <w:t xml:space="preserve">  i Konwencja z dnia 26 lipca 19</w:t>
      </w:r>
      <w:r>
        <w:rPr>
          <w:color w:val="000000"/>
        </w:rPr>
        <w:t xml:space="preserve">95 r. sporządzoną na podstawie artykułu K.3 Traktatu o Unii Europejskiej, o ochronie interesów finansowych Wspólnot Europejskich </w:t>
      </w:r>
      <w:r>
        <w:rPr>
          <w:color w:val="000000"/>
          <w:vertAlign w:val="superscript"/>
        </w:rPr>
        <w:t>23</w:t>
      </w:r>
      <w:r>
        <w:rPr>
          <w:color w:val="000000"/>
        </w:rPr>
        <w:t xml:space="preserve"> , w tym protokołami do niej: z dnia 27 września 1996 r. </w:t>
      </w:r>
      <w:r>
        <w:rPr>
          <w:color w:val="000000"/>
          <w:vertAlign w:val="superscript"/>
        </w:rPr>
        <w:t>24</w:t>
      </w:r>
      <w:r>
        <w:rPr>
          <w:color w:val="000000"/>
        </w:rPr>
        <w:t xml:space="preserve"> , z dnia 29 listopada 1996 r. </w:t>
      </w:r>
      <w:r>
        <w:rPr>
          <w:color w:val="000000"/>
          <w:vertAlign w:val="superscript"/>
        </w:rPr>
        <w:t>25</w:t>
      </w:r>
      <w:r>
        <w:rPr>
          <w:color w:val="000000"/>
        </w:rPr>
        <w:t xml:space="preserve">  i z dnia 19 czerwca 1997 r. </w:t>
      </w:r>
      <w:r>
        <w:rPr>
          <w:color w:val="000000"/>
          <w:vertAlign w:val="superscript"/>
        </w:rPr>
        <w:t>26</w:t>
      </w:r>
      <w:r>
        <w:rPr>
          <w:color w:val="000000"/>
        </w:rPr>
        <w:t xml:space="preserve"> </w:t>
      </w:r>
      <w:r>
        <w:rPr>
          <w:color w:val="000000"/>
        </w:rPr>
        <w:t xml:space="preserve">. Konwencja ta i protokoły pozostają w mocy w odniesieniu do państw członkowskich, które nie są związane </w:t>
      </w:r>
      <w:r>
        <w:rPr>
          <w:color w:val="1B1B1B"/>
        </w:rPr>
        <w:t>dyrektywą</w:t>
      </w:r>
      <w:r>
        <w:rPr>
          <w:color w:val="000000"/>
        </w:rPr>
        <w:t xml:space="preserve"> (UE) 2017/1371.</w:t>
      </w:r>
    </w:p>
    <w:p w:rsidR="00DF1EB6" w:rsidRDefault="002F1DC5">
      <w:pPr>
        <w:spacing w:before="25" w:after="0"/>
      </w:pPr>
      <w:r>
        <w:rPr>
          <w:color w:val="000000"/>
        </w:rPr>
        <w:t>(16) Należy również ustanowić wspólne minimalne normy ochrony sygnalistów w odniesieniu do naruszeń związanych z rynkiem wewn</w:t>
      </w:r>
      <w:r>
        <w:rPr>
          <w:color w:val="000000"/>
        </w:rPr>
        <w:t xml:space="preserve">ętrznym, o którym mowa w </w:t>
      </w:r>
      <w:r>
        <w:rPr>
          <w:color w:val="1B1B1B"/>
        </w:rPr>
        <w:t>art. 26 ust. 2</w:t>
      </w:r>
      <w:r>
        <w:rPr>
          <w:color w:val="000000"/>
        </w:rPr>
        <w:t xml:space="preserve"> TFUE. Ponadto zgodnie z orzecznictwem Trybunału Sprawiedliwości Unii Europejskiej (zwanym dalej "Trybunałem"), środki Unii mające na celu ustanowienie lub funkcjonowanie rynku wewnętrznego powinny przyczyniać się do </w:t>
      </w:r>
      <w:r>
        <w:rPr>
          <w:color w:val="000000"/>
        </w:rPr>
        <w:t>eliminowania istniejących lub pojawiających się przeszkód w swobodnym przepływie towarów lub przeszkód w zakresie swobody świadczenia usług oraz przyczyniać się do usuwania zakłóceń konkurencji.</w:t>
      </w:r>
    </w:p>
    <w:p w:rsidR="00DF1EB6" w:rsidRDefault="002F1DC5">
      <w:pPr>
        <w:spacing w:before="25" w:after="0"/>
      </w:pPr>
      <w:r>
        <w:rPr>
          <w:color w:val="000000"/>
        </w:rPr>
        <w:t>(17) W szczególności, ochrona sygnalistów służąca poprawie eg</w:t>
      </w:r>
      <w:r>
        <w:rPr>
          <w:color w:val="000000"/>
        </w:rPr>
        <w:t>zekwowania unijnego prawa konkurencji, w tym przepisów dotyczących pomocy państwa, przyczyniłaby się do zagwarantowania wydajnego funkcjonowania rynków w Unii i zapewnienia przedsiębiorstwom równych szans oraz przyniosłaby korzyści konsumentom. W odniesien</w:t>
      </w:r>
      <w:r>
        <w:rPr>
          <w:color w:val="000000"/>
        </w:rPr>
        <w:t>iu do reguł konkurencji mających zastosowanie do przedsiębiorstw, znaczenie zgłoszeń dokonywanych przez osoby znajdujące się wewnątrz danej organizacji dla wykrywania przypadków naruszenia prawa konkurencji zostało już uznane poprzez stosowanie prowadzonej</w:t>
      </w:r>
      <w:r>
        <w:rPr>
          <w:color w:val="000000"/>
        </w:rPr>
        <w:t xml:space="preserve"> przez Komisję polityki łagodzenia kar na podstawie </w:t>
      </w:r>
      <w:r>
        <w:rPr>
          <w:color w:val="1B1B1B"/>
        </w:rPr>
        <w:t>art. 4a</w:t>
      </w:r>
      <w:r>
        <w:rPr>
          <w:color w:val="000000"/>
        </w:rPr>
        <w:t xml:space="preserve"> rozporządzenia Komisji (WE) nr 773/2004 </w:t>
      </w:r>
      <w:r>
        <w:rPr>
          <w:color w:val="000000"/>
          <w:vertAlign w:val="superscript"/>
        </w:rPr>
        <w:t>27</w:t>
      </w:r>
      <w:r>
        <w:rPr>
          <w:color w:val="000000"/>
        </w:rPr>
        <w:t xml:space="preserve"> , a także poprzez niedawne wprowadzenie przez Komisję narzędzia anonimowego sygnalizowania nieprawidłowości. Naruszenia dotyczące prawa konkurencji i prz</w:t>
      </w:r>
      <w:r>
        <w:rPr>
          <w:color w:val="000000"/>
        </w:rPr>
        <w:t xml:space="preserve">episów dotyczących pomocy państwa są związane z </w:t>
      </w:r>
      <w:r>
        <w:rPr>
          <w:color w:val="1B1B1B"/>
        </w:rPr>
        <w:t>art. 101</w:t>
      </w:r>
      <w:r>
        <w:rPr>
          <w:color w:val="000000"/>
        </w:rPr>
        <w:t xml:space="preserve">, </w:t>
      </w:r>
      <w:r>
        <w:rPr>
          <w:color w:val="1B1B1B"/>
        </w:rPr>
        <w:t>102</w:t>
      </w:r>
      <w:r>
        <w:rPr>
          <w:color w:val="000000"/>
        </w:rPr>
        <w:t xml:space="preserve">, </w:t>
      </w:r>
      <w:r>
        <w:rPr>
          <w:color w:val="1B1B1B"/>
        </w:rPr>
        <w:t>106</w:t>
      </w:r>
      <w:r>
        <w:rPr>
          <w:color w:val="000000"/>
        </w:rPr>
        <w:t xml:space="preserve">, </w:t>
      </w:r>
      <w:r>
        <w:rPr>
          <w:color w:val="1B1B1B"/>
        </w:rPr>
        <w:t>107</w:t>
      </w:r>
      <w:r>
        <w:rPr>
          <w:color w:val="000000"/>
        </w:rPr>
        <w:t xml:space="preserve"> i </w:t>
      </w:r>
      <w:r>
        <w:rPr>
          <w:color w:val="1B1B1B"/>
        </w:rPr>
        <w:t>108</w:t>
      </w:r>
      <w:r>
        <w:rPr>
          <w:color w:val="000000"/>
        </w:rPr>
        <w:t xml:space="preserve"> TFUE i z przepisami prawa wtórnego przyjętego na potrzeby stosowania tych artykułów.</w:t>
      </w:r>
    </w:p>
    <w:p w:rsidR="00DF1EB6" w:rsidRDefault="002F1DC5">
      <w:pPr>
        <w:spacing w:before="25" w:after="0"/>
      </w:pPr>
      <w:r>
        <w:rPr>
          <w:color w:val="000000"/>
        </w:rPr>
        <w:t>(18) Naruszenia przepisów dotyczących podatku od osób prawnych i praktyki mające na celu uzys</w:t>
      </w:r>
      <w:r>
        <w:rPr>
          <w:color w:val="000000"/>
        </w:rPr>
        <w:t>kanie korzyści podatkowej i uchylenia się od zobowiązań prawnych, a tym samym sprzeczne z przedmiotem lub celem właściwych przepisów dotyczących podatku od osób prawnych, wywierają negatywny wpływ na prawidłowe funkcjonowanie rynku wewnętrznego. Takie naru</w:t>
      </w:r>
      <w:r>
        <w:rPr>
          <w:color w:val="000000"/>
        </w:rPr>
        <w:t xml:space="preserve">szenia i praktyki mogą prowadzić do nieuczciwej konkurencji </w:t>
      </w:r>
      <w:r>
        <w:rPr>
          <w:color w:val="000000"/>
        </w:rPr>
        <w:lastRenderedPageBreak/>
        <w:t xml:space="preserve">podatkowej i szeroko zakrojonego uchylania się od opodatkowania oraz zakłócać równość szans przedsiębiorstw i prowadzić do uszczuplenia dochodów podatkowych państw członkowskich i całości budżetu </w:t>
      </w:r>
      <w:r>
        <w:rPr>
          <w:color w:val="000000"/>
        </w:rPr>
        <w:t>unijnego. Niniejsza dyrektywa powinna przewidywać ochronę przed działaniami odwetowymi wobec osób zgłaszających praktyki mające na celu uchylanie się od opodatkowania lub dopuszczanie się nadużyć, które to praktyki w przeciwnym wypadku pozostałyby niewykry</w:t>
      </w:r>
      <w:r>
        <w:rPr>
          <w:color w:val="000000"/>
        </w:rPr>
        <w:t xml:space="preserve">te, mając na celu zwiększenie zdolności właściwych organów do gwarantowania prawidłowego funkcjonowania rynku wewnętrznego i usuwania zakłóceń i barier w handlu, które negatywnie wpływają na konkurencyjność przedsiębiorstw na rynku wewnętrznym, a które to </w:t>
      </w:r>
      <w:r>
        <w:rPr>
          <w:color w:val="000000"/>
        </w:rPr>
        <w:t xml:space="preserve">praktyki są bezpośrednio związane z przepisami dotyczącymi swobodnego przepływu i mają również znaczenie dla stosowania zasad pomocy państwa. Ochrona sygnalistów przewidziana w niniejszej dyrektywie stanowiłaby uzupełnienie niedawnych inicjatyw Komisji na </w:t>
      </w:r>
      <w:r>
        <w:rPr>
          <w:color w:val="000000"/>
        </w:rPr>
        <w:t>rzecz zwiększenia przejrzystości i wymiany informacji w dziedzinie opodatkowania oraz utworzenia sprawiedliwszego otoczenia związanego z podatkiem od osób prawnych w Unii, w celu zwiększeniu skuteczności działań państw członkowskich w kwestii wykrywania pr</w:t>
      </w:r>
      <w:r>
        <w:rPr>
          <w:color w:val="000000"/>
        </w:rPr>
        <w:t>aktyk mających na celu uchylanie się od opodatkowania lub dopuszczanie się nadużyć oraz pomogłaby w zniechęcaniu do stosowania takich praktyk. Jednakże niniejsza dyrektywa nie harmonizuje przepisów prawa materialnego ani przepisów wykonawczych z zakresu po</w:t>
      </w:r>
      <w:r>
        <w:rPr>
          <w:color w:val="000000"/>
        </w:rPr>
        <w:t>datków ani nie zmierza do poprawy egzekwowania krajowych przepisów dotyczących podatku od osób prawnych, bez uszczerbku dla możliwości państw członkowskich wykorzystywania do tego celu informacji będących przedmiotem zgłoszenia.</w:t>
      </w:r>
    </w:p>
    <w:p w:rsidR="00DF1EB6" w:rsidRDefault="002F1DC5">
      <w:pPr>
        <w:spacing w:before="25" w:after="0"/>
      </w:pPr>
      <w:r>
        <w:rPr>
          <w:color w:val="000000"/>
        </w:rPr>
        <w:t>(19) Art. 2 ust. 1 lit a) o</w:t>
      </w:r>
      <w:r>
        <w:rPr>
          <w:color w:val="000000"/>
        </w:rPr>
        <w:t>kreśla zakres przedmiotowy niniejszej dyrektywy poprzez odesłanie do wykazu aktów Unii zawartego w załączniku. Oznacza to, że w przypadkach, gdy z kolei te akty Unii określają swój zakres przedmiotowy poprzez odesłanie do innych aktów Unii wymienionych w z</w:t>
      </w:r>
      <w:r>
        <w:rPr>
          <w:color w:val="000000"/>
        </w:rPr>
        <w:t>ałącznikach do nich, również te inne akty wchodzą w zakres przedmiotowy niniejszej dyrektywy. Ponadto odesłanie do aktów wymienionych w załączniku należy rozumieć jako obejmujące wszystkie krajowe i unijne środki wykonawcze lub delegowane przyjęte na podst</w:t>
      </w:r>
      <w:r>
        <w:rPr>
          <w:color w:val="000000"/>
        </w:rPr>
        <w:t>awie tych aktów. Odesłanie do aktów Unii wymienionych w załączniku należy również rozumieć jako odesłanie dynamiczne, zgodnie ze zwyczajowym sposobem odsyłania stosowanym w przypadku aktów prawnych Unii. Oznacza to, że jeżeli wymieniony w załączniku akt Un</w:t>
      </w:r>
      <w:r>
        <w:rPr>
          <w:color w:val="000000"/>
        </w:rPr>
        <w:t>ii został lub zostanie zmieniony, odesłanie dotyczy zmienionego aktu; jeżeli akt Unii wymieniony w załączniku został lub zostanie zastąpiony, odesłanie dotyczy nowego aktu.</w:t>
      </w:r>
    </w:p>
    <w:p w:rsidR="00DF1EB6" w:rsidRDefault="002F1DC5">
      <w:pPr>
        <w:spacing w:before="25" w:after="0"/>
      </w:pPr>
      <w:r>
        <w:rPr>
          <w:color w:val="000000"/>
        </w:rPr>
        <w:t>(20) Niektóre akty Unii, w szczególności akty dotyczące dziedziny usług finansowych</w:t>
      </w:r>
      <w:r>
        <w:rPr>
          <w:color w:val="000000"/>
        </w:rPr>
        <w:t xml:space="preserve">, takie jak </w:t>
      </w:r>
      <w:r>
        <w:rPr>
          <w:color w:val="1B1B1B"/>
        </w:rPr>
        <w:t>rozporządzenie</w:t>
      </w:r>
      <w:r>
        <w:rPr>
          <w:color w:val="000000"/>
        </w:rPr>
        <w:t xml:space="preserve"> Parlamentu Europejskiego i Rady (UE) nr 596/2014 </w:t>
      </w:r>
      <w:r>
        <w:rPr>
          <w:color w:val="000000"/>
          <w:vertAlign w:val="superscript"/>
        </w:rPr>
        <w:t>28</w:t>
      </w:r>
      <w:r>
        <w:rPr>
          <w:color w:val="000000"/>
        </w:rPr>
        <w:t xml:space="preserve">  i </w:t>
      </w:r>
      <w:r>
        <w:rPr>
          <w:color w:val="1B1B1B"/>
        </w:rPr>
        <w:t>dyrektywa</w:t>
      </w:r>
      <w:r>
        <w:rPr>
          <w:color w:val="000000"/>
        </w:rPr>
        <w:t xml:space="preserve"> wykonawcza Komisji (UE) 2015/2392 </w:t>
      </w:r>
      <w:r>
        <w:rPr>
          <w:color w:val="000000"/>
          <w:vertAlign w:val="superscript"/>
        </w:rPr>
        <w:t>29</w:t>
      </w:r>
      <w:r>
        <w:rPr>
          <w:color w:val="000000"/>
        </w:rPr>
        <w:t xml:space="preserve">  przyjęta na podstawie tego rozporządzenia, zawierają już szczegółowe przepisy dotyczące ochrony sygnalistów. Należy utrzymać w</w:t>
      </w:r>
      <w:r>
        <w:rPr>
          <w:color w:val="000000"/>
        </w:rPr>
        <w:t xml:space="preserve"> mocy wszelkie szczególne uregulowania w tym względzie przewidziane w takich obowiązujących już przepisach Unii, w tym w aktach Unii wymienionych w części II załącznika do niniejszej dyrektywy, dopasowane do poszczególnych sektorów. Ma to szczególne znacze</w:t>
      </w:r>
      <w:r>
        <w:rPr>
          <w:color w:val="000000"/>
        </w:rPr>
        <w:t xml:space="preserve">nie dla ustalenia, które podmioty prawne w dziedzinie usług finansowych oraz zapobiegania praniu pieniędzy i finansowaniu terroryzmu są obecnie zobowiązane do ustanowienia wewnętrznych kanałów dokonywania zgłoszeń. Jednocześnie w celu </w:t>
      </w:r>
      <w:r>
        <w:rPr>
          <w:color w:val="000000"/>
        </w:rPr>
        <w:lastRenderedPageBreak/>
        <w:t>zapewnienia spójności</w:t>
      </w:r>
      <w:r>
        <w:rPr>
          <w:color w:val="000000"/>
        </w:rPr>
        <w:t xml:space="preserve"> i pewności prawa we wszystkich państwach członkowskich niniejsza dyrektywa powinna mieć zastosowanie we wszystkich kwestiach nieuregulowanych w aktach sektorowych i powinna tym samym uzupełniać takie akty, tak aby były w pełni zgodne z minimalnymi normami</w:t>
      </w:r>
      <w:r>
        <w:rPr>
          <w:color w:val="000000"/>
        </w:rPr>
        <w:t>. W szczególności niniejsza dyrektywa powinna doprecyzowywać strukturę wewnętrznych i zewnętrznych kanałów dokonywania zgłoszeń, obowiązki właściwych organów oraz szczególne formy ochrony przed działaniami odwetowymi, które należy zapewnić na poziomie kraj</w:t>
      </w:r>
      <w:r>
        <w:rPr>
          <w:color w:val="000000"/>
        </w:rPr>
        <w:t xml:space="preserve">owym. W tym względzie </w:t>
      </w:r>
      <w:r>
        <w:rPr>
          <w:color w:val="1B1B1B"/>
        </w:rPr>
        <w:t>art. 28 ust. 4</w:t>
      </w:r>
      <w:r>
        <w:rPr>
          <w:color w:val="000000"/>
        </w:rPr>
        <w:t xml:space="preserve"> rozporządzenia Parlamentu Europejskiego i Rady (UE) nr 1286/2014 </w:t>
      </w:r>
      <w:r>
        <w:rPr>
          <w:color w:val="000000"/>
          <w:vertAlign w:val="superscript"/>
        </w:rPr>
        <w:t>30</w:t>
      </w:r>
      <w:r>
        <w:rPr>
          <w:color w:val="000000"/>
        </w:rPr>
        <w:t xml:space="preserve">  umożliwia państwom członkowskim ustanowienie wewnętrznego kanału dokonywania zgłoszeń w odniesieniu do dziedziny objętej niniejszym rozporządzeniem. D</w:t>
      </w:r>
      <w:r>
        <w:rPr>
          <w:color w:val="000000"/>
        </w:rPr>
        <w:t xml:space="preserve">la zachowania spójności z minimalnymi normami określonymi w niniejszej dyrektywie obowiązek ustanowienia wewnętrznych kanałów dokonywania zgłoszeń, o którym mowa w niniejszej dyrektywie, powinien mieć również zastosowanie w kontekście </w:t>
      </w:r>
      <w:r>
        <w:rPr>
          <w:color w:val="1B1B1B"/>
        </w:rPr>
        <w:t>rozporządzenia</w:t>
      </w:r>
      <w:r>
        <w:rPr>
          <w:color w:val="000000"/>
        </w:rPr>
        <w:t xml:space="preserve"> (UE) n</w:t>
      </w:r>
      <w:r>
        <w:rPr>
          <w:color w:val="000000"/>
        </w:rPr>
        <w:t>r 1286/2014.</w:t>
      </w:r>
    </w:p>
    <w:p w:rsidR="00DF1EB6" w:rsidRDefault="002F1DC5">
      <w:pPr>
        <w:spacing w:before="25" w:after="0"/>
      </w:pPr>
      <w:r>
        <w:rPr>
          <w:color w:val="000000"/>
        </w:rPr>
        <w:t xml:space="preserve">(21) Niniejsza dyrektywa powinna pozostawać bez uszczerbku dla ochrony przyznanej pracownikom zgłaszającym naruszenia prawa Unii w dziedzinie zatrudnienia. W szczególności w dziedzinie bezpieczeństwa i higieny pracy, zgodnie z </w:t>
      </w:r>
      <w:r>
        <w:rPr>
          <w:color w:val="1B1B1B"/>
        </w:rPr>
        <w:t>art. 11</w:t>
      </w:r>
      <w:r>
        <w:rPr>
          <w:color w:val="000000"/>
        </w:rPr>
        <w:t xml:space="preserve"> dyrektywy Rady 89/391/EWG </w:t>
      </w:r>
      <w:r>
        <w:rPr>
          <w:color w:val="000000"/>
          <w:vertAlign w:val="superscript"/>
        </w:rPr>
        <w:t>31</w:t>
      </w:r>
      <w:r>
        <w:rPr>
          <w:color w:val="000000"/>
        </w:rPr>
        <w:t xml:space="preserve"> , państwa członkowskie zostały już zobowiązane do zapewnienia, aby pracownicy lub przedstawiciele pracowników nie byli stawiani w niekorzystnej sytuacji z powodu kierowanych przez siebie do pracodawcy żądań lub wniosków dotycz</w:t>
      </w:r>
      <w:r>
        <w:rPr>
          <w:color w:val="000000"/>
        </w:rPr>
        <w:t xml:space="preserve">ących zastosowania odpowiednich środków służących ograniczeniu zagrożeń dla pracowników lub usunięciu źródeł niebezpieczeństw. Pracownicy i ich przedstawiciele mają, na mocy niniejszej dyrektywy, prawo zwracania się do właściwego organu, jeżeli uznają, że </w:t>
      </w:r>
      <w:r>
        <w:rPr>
          <w:color w:val="000000"/>
        </w:rPr>
        <w:t>środki podejmowane przez pracodawcę i stosowane przez niego metody są niewystarczające do zapewnienia odpowiedniego poziomu bezpieczeństwa i higieny pracy.</w:t>
      </w:r>
    </w:p>
    <w:p w:rsidR="00DF1EB6" w:rsidRDefault="002F1DC5">
      <w:pPr>
        <w:spacing w:before="25" w:after="0"/>
      </w:pPr>
      <w:r>
        <w:rPr>
          <w:color w:val="000000"/>
        </w:rPr>
        <w:t>(22) Państwa członkowskie mogą zdecydować o wprowadzeniu przepisów stanowiących, że zgłoszenia dotyc</w:t>
      </w:r>
      <w:r>
        <w:rPr>
          <w:color w:val="000000"/>
        </w:rPr>
        <w:t>zące skarg z zakresu relacji interpersonalnych odnoszące się wyłącznie do osoby dokonującej zgłoszenia, czyli w przypadku skarg dotyczących konfliktu interpersonalnego między osobą dokonującą zgłoszenia a innym pracownikiem, mogą zostać skierowane do rozpa</w:t>
      </w:r>
      <w:r>
        <w:rPr>
          <w:color w:val="000000"/>
        </w:rPr>
        <w:t>trzenia w ramach innych procedur.</w:t>
      </w:r>
    </w:p>
    <w:p w:rsidR="00DF1EB6" w:rsidRDefault="002F1DC5">
      <w:pPr>
        <w:spacing w:before="25" w:after="0"/>
      </w:pPr>
      <w:r>
        <w:rPr>
          <w:color w:val="000000"/>
        </w:rPr>
        <w:t>(23) Niniejsza dyrektywa powinna pozostawać bez uszczerbku dla ochrony przyznanej na mocy procedur dotyczących zgłaszania podejrzenia nielegalnych działań, w tym nadużyć finansowych lub korupcji, szkodzących interesom Unii</w:t>
      </w:r>
      <w:r>
        <w:rPr>
          <w:color w:val="000000"/>
        </w:rPr>
        <w:t>, lub zgłaszania działania związanego z wykonywaniem obowiązków służbowych, które może stanowić poważne zaniedbanie wykonywania obowiązków urzędników i innych pracowników Unii Europejskiej, które to procedury ustanowiono na podstawie art. 22a, 22b i 22c Re</w:t>
      </w:r>
      <w:r>
        <w:rPr>
          <w:color w:val="000000"/>
        </w:rPr>
        <w:t xml:space="preserve">gulaminu pracowniczego urzędników Unii Europejskiej i warunków zatrudnienia innych pracowników Unii Europejskiej ustanowionych </w:t>
      </w:r>
      <w:r>
        <w:rPr>
          <w:color w:val="1B1B1B"/>
        </w:rPr>
        <w:t>rozporządzeniem</w:t>
      </w:r>
      <w:r>
        <w:rPr>
          <w:color w:val="000000"/>
        </w:rPr>
        <w:t xml:space="preserve"> Rady (EWG, Euratom, </w:t>
      </w:r>
      <w:proofErr w:type="spellStart"/>
      <w:r>
        <w:rPr>
          <w:color w:val="000000"/>
        </w:rPr>
        <w:t>EWWiS</w:t>
      </w:r>
      <w:proofErr w:type="spellEnd"/>
      <w:r>
        <w:rPr>
          <w:color w:val="000000"/>
        </w:rPr>
        <w:t xml:space="preserve">) nr 259/68 </w:t>
      </w:r>
      <w:r>
        <w:rPr>
          <w:color w:val="000000"/>
          <w:vertAlign w:val="superscript"/>
        </w:rPr>
        <w:t>32</w:t>
      </w:r>
      <w:r>
        <w:rPr>
          <w:color w:val="000000"/>
        </w:rPr>
        <w:t xml:space="preserve"> . Niniejsza dyrektywa powinna mieć zastosowanie w przypadku, gdy urzędnic</w:t>
      </w:r>
      <w:r>
        <w:rPr>
          <w:color w:val="000000"/>
        </w:rPr>
        <w:t>y i inni pracownicy Unii dokonują zgłoszenia naruszeń, mających miejsce w kontekście związanym z pracą, ale nie w ramach stosunku pracy z instytucjami, organami lub jednostkami organizacyjnymi Unii.</w:t>
      </w:r>
    </w:p>
    <w:p w:rsidR="00DF1EB6" w:rsidRDefault="002F1DC5">
      <w:pPr>
        <w:spacing w:before="25" w:after="0"/>
      </w:pPr>
      <w:r>
        <w:rPr>
          <w:color w:val="000000"/>
        </w:rPr>
        <w:t>(24) Bezpieczeństwo narodowe pozostaje w zakresie wyłączn</w:t>
      </w:r>
      <w:r>
        <w:rPr>
          <w:color w:val="000000"/>
        </w:rPr>
        <w:t xml:space="preserve">ej odpowiedzialności każdego państwa członkowskiego. Niniejsza dyrektywa nie powinna mieć zastosowania do zgłaszania </w:t>
      </w:r>
      <w:r>
        <w:rPr>
          <w:color w:val="000000"/>
        </w:rPr>
        <w:lastRenderedPageBreak/>
        <w:t xml:space="preserve">naruszeń dotyczących zamówień publicznych obejmujących aspekty obronności lub bezpieczeństwa, jeżeli są one objęte zakresem stosowania </w:t>
      </w:r>
      <w:r>
        <w:rPr>
          <w:color w:val="1B1B1B"/>
        </w:rPr>
        <w:t>art.</w:t>
      </w:r>
      <w:r>
        <w:rPr>
          <w:color w:val="1B1B1B"/>
        </w:rPr>
        <w:t xml:space="preserve"> 346</w:t>
      </w:r>
      <w:r>
        <w:rPr>
          <w:color w:val="000000"/>
        </w:rPr>
        <w:t xml:space="preserve"> TFUE, zgodnie z orzecznictwem Trybunału. Jeżeli państwa członkowskie postanowią rozszerzyć ochronę przewidzianą w niniejszej dyrektywie na dodatkowe dziedziny lub akty, które nie wchodzą w zakres przedmiotowy jej stosowania, powinny mieć możliwość prz</w:t>
      </w:r>
      <w:r>
        <w:rPr>
          <w:color w:val="000000"/>
        </w:rPr>
        <w:t>yjęcia przepisów szczególnych w celu ochrony podstawowych interesów bezpieczeństwa narodowego w tym zakresie.</w:t>
      </w:r>
    </w:p>
    <w:p w:rsidR="00DF1EB6" w:rsidRDefault="002F1DC5">
      <w:pPr>
        <w:spacing w:before="25" w:after="0"/>
      </w:pPr>
      <w:r>
        <w:rPr>
          <w:color w:val="000000"/>
        </w:rPr>
        <w:t>(25) Niniejsza dyrektywa powinna również pozostawać bez uszczerbku dla ochrony informacji niejawnych, które - zgodnie z prawem Unii lub przepisami</w:t>
      </w:r>
      <w:r>
        <w:rPr>
          <w:color w:val="000000"/>
        </w:rPr>
        <w:t xml:space="preserve"> ustawowymi, wykonawczymi lub administracyjnymi obowiązującymi w danym państwie członkowskim - muszą być chronione przed nieuprawnionym dostępem ze względów bezpieczeństwa. Ponadto niniejsza dyrektywa nie powinny wpływać na zobowiązania wynikające z </w:t>
      </w:r>
      <w:r>
        <w:rPr>
          <w:color w:val="1B1B1B"/>
        </w:rPr>
        <w:t>decyzj</w:t>
      </w:r>
      <w:r>
        <w:rPr>
          <w:color w:val="1B1B1B"/>
        </w:rPr>
        <w:t>i</w:t>
      </w:r>
      <w:r>
        <w:rPr>
          <w:color w:val="000000"/>
        </w:rPr>
        <w:t xml:space="preserve"> Rady 2013/488/UE </w:t>
      </w:r>
      <w:r>
        <w:rPr>
          <w:color w:val="000000"/>
          <w:vertAlign w:val="superscript"/>
        </w:rPr>
        <w:t>33</w:t>
      </w:r>
      <w:r>
        <w:rPr>
          <w:color w:val="000000"/>
        </w:rPr>
        <w:t xml:space="preserve">  lub </w:t>
      </w:r>
      <w:r>
        <w:rPr>
          <w:color w:val="1B1B1B"/>
        </w:rPr>
        <w:t>decyzji</w:t>
      </w:r>
      <w:r>
        <w:rPr>
          <w:color w:val="000000"/>
        </w:rPr>
        <w:t xml:space="preserve"> Komisji (UE, Euratom) 2015/444 </w:t>
      </w:r>
      <w:r>
        <w:rPr>
          <w:color w:val="000000"/>
          <w:vertAlign w:val="superscript"/>
        </w:rPr>
        <w:t>34</w:t>
      </w:r>
      <w:r>
        <w:rPr>
          <w:color w:val="000000"/>
        </w:rPr>
        <w:t xml:space="preserve"> .</w:t>
      </w:r>
    </w:p>
    <w:p w:rsidR="00DF1EB6" w:rsidRDefault="002F1DC5">
      <w:pPr>
        <w:spacing w:before="25" w:after="0"/>
      </w:pPr>
      <w:r>
        <w:rPr>
          <w:color w:val="000000"/>
        </w:rPr>
        <w:t>(26) Niniejsza dyrektywa nie powinna wpływać na ochronę poufności wymiany informacji między prawnikami a ich klientami ("prawnicza tajemnica zawodowa") przewidzianą w prawie krajowym i,</w:t>
      </w:r>
      <w:r>
        <w:rPr>
          <w:color w:val="000000"/>
        </w:rPr>
        <w:t xml:space="preserve"> w stosownych przypadkach, w prawie Unii, zgodnie z orzecznictwem Trybunału. Ponadto niniejsza dyrektywa nie powinna wpływać na obowiązek zachowania poufnego charakteru wymiany informacji między świadczeniodawcami opieki zdrowotnej, w tym terapeutami, a ic</w:t>
      </w:r>
      <w:r>
        <w:rPr>
          <w:color w:val="000000"/>
        </w:rPr>
        <w:t>h pacjentami oraz poufności dokumentacji medycznej ("tajemnica medyczna") przewidziany w prawie krajowym i prawie Unii.</w:t>
      </w:r>
    </w:p>
    <w:p w:rsidR="00DF1EB6" w:rsidRDefault="002F1DC5">
      <w:pPr>
        <w:spacing w:before="25" w:after="0"/>
      </w:pPr>
      <w:r>
        <w:rPr>
          <w:color w:val="000000"/>
        </w:rPr>
        <w:t>(27) Przedstawiciele zawodów, inni niż prawnicy i świadczeniodawcy opieki zdrowotnej, mogą kwalifikować się do objęcia ochroną na mocy n</w:t>
      </w:r>
      <w:r>
        <w:rPr>
          <w:color w:val="000000"/>
        </w:rPr>
        <w:t>iniejszej dyrektywy, w przypadku gdy zgłaszają informacje chronione na mocy mających zastosowanie zasad zawodowych, pod warunkiem że zgłaszanie tych informacji jest niezbędne do ujawnienia naruszenia objętego zakresem stosowania niniejszej dyrektywy.</w:t>
      </w:r>
    </w:p>
    <w:p w:rsidR="00DF1EB6" w:rsidRDefault="002F1DC5">
      <w:pPr>
        <w:spacing w:before="25" w:after="0"/>
      </w:pPr>
      <w:r>
        <w:rPr>
          <w:color w:val="000000"/>
        </w:rPr>
        <w:t xml:space="preserve">(28) </w:t>
      </w:r>
      <w:r>
        <w:rPr>
          <w:color w:val="000000"/>
        </w:rPr>
        <w:t>Choć niniejsza dyrektywa powinna przewidywać, pod pewnymi warunkami, ograniczone zwolnienie z odpowiedzialności, w tym z odpowiedzialności karnej, w przypadku naruszenia poufności, nie powinna ona wpływać na krajowe przepisy dotyczące postępowania karnego,</w:t>
      </w:r>
      <w:r>
        <w:rPr>
          <w:color w:val="000000"/>
        </w:rPr>
        <w:t xml:space="preserve"> w szczególności na przepisy mające na celu zagwarantowanie rzetelności postępowania przygotowawczego i sądowego lub prawa do obrony osób, których dotyczy zgłoszenie. Powinno to pozostawać bez uszczerbku dla wprowadzania środków ochrony do innych rodzajów </w:t>
      </w:r>
      <w:r>
        <w:rPr>
          <w:color w:val="000000"/>
        </w:rPr>
        <w:t>krajowego prawa procesowego, w szczególności w zakresie przeniesienia ciężaru dowodu w krajowych postępowaniach administracyjnych, cywilnych lub postępowaniach z zakresu prawa pracy.</w:t>
      </w:r>
    </w:p>
    <w:p w:rsidR="00DF1EB6" w:rsidRDefault="002F1DC5">
      <w:pPr>
        <w:spacing w:before="25" w:after="0"/>
      </w:pPr>
      <w:r>
        <w:rPr>
          <w:color w:val="000000"/>
        </w:rPr>
        <w:t>(29) Niniejsza dyrektywa nie powinna mieć wpływu na krajowe przepisy doty</w:t>
      </w:r>
      <w:r>
        <w:rPr>
          <w:color w:val="000000"/>
        </w:rPr>
        <w:t>czące korzystania z przysługującego przedstawicielom pracowników prawa do informacji, konsultacji i uczestnictwa w układach zbiorowych oraz do obrony praw pracowniczych. Powinno to pozostawać bez uszczerbku dla poziomu ochrony przyznanej na mocy niniejszej</w:t>
      </w:r>
      <w:r>
        <w:rPr>
          <w:color w:val="000000"/>
        </w:rPr>
        <w:t xml:space="preserve"> dyrektywy.</w:t>
      </w:r>
    </w:p>
    <w:p w:rsidR="00DF1EB6" w:rsidRDefault="002F1DC5">
      <w:pPr>
        <w:spacing w:before="25" w:after="0"/>
      </w:pPr>
      <w:r>
        <w:rPr>
          <w:color w:val="000000"/>
        </w:rPr>
        <w:t>(30) Niniejsza dyrektywa nie powinna mieć zastosowania do przypadków, gdy osoby, które w oparciu o udzieloną przez nie świadomą zgodę, zostały uznane za informatorów lub zarejestrowane jako informatorzy w bazach danych zarządzanych przez organy</w:t>
      </w:r>
      <w:r>
        <w:rPr>
          <w:color w:val="000000"/>
        </w:rPr>
        <w:t xml:space="preserve"> wyznaczone na poziomie krajowym, takie jak organy celne, i które zgłaszają naruszenia organom </w:t>
      </w:r>
      <w:r>
        <w:rPr>
          <w:color w:val="000000"/>
        </w:rPr>
        <w:lastRenderedPageBreak/>
        <w:t>ścigania, otrzymując w zamian nagrodę lub wynagrodzenie. Takie zgłoszenia dokonywane są na podstawie specjalnych procedur mających na celu zagwarantowanie anonim</w:t>
      </w:r>
      <w:r>
        <w:rPr>
          <w:color w:val="000000"/>
        </w:rPr>
        <w:t>owości tych osób, by chronić ich integralność cielesną, i za pośrednictwem innych kanałów dokonywania zgłoszeń, niż te przewidziane w niniejszej dyrektywie.</w:t>
      </w:r>
    </w:p>
    <w:p w:rsidR="00DF1EB6" w:rsidRDefault="002F1DC5">
      <w:pPr>
        <w:spacing w:before="25" w:after="0"/>
      </w:pPr>
      <w:r>
        <w:rPr>
          <w:color w:val="000000"/>
        </w:rPr>
        <w:t xml:space="preserve">(31) Osoby zgłaszające informacje na temat zagrożeń lub </w:t>
      </w:r>
      <w:proofErr w:type="spellStart"/>
      <w:r>
        <w:rPr>
          <w:color w:val="000000"/>
        </w:rPr>
        <w:t>szkód</w:t>
      </w:r>
      <w:proofErr w:type="spellEnd"/>
      <w:r>
        <w:rPr>
          <w:color w:val="000000"/>
        </w:rPr>
        <w:t xml:space="preserve"> dla interesu publicznego, pozyskane w</w:t>
      </w:r>
      <w:r>
        <w:rPr>
          <w:color w:val="000000"/>
        </w:rPr>
        <w:t xml:space="preserve"> związku z wykonywaną przez nie działalnością zawodową, korzystają z przysługującego im prawa do wolności wypowiedzi. Prawo do wolności wypowiedzi i informacji zagwarantowane w art. 11 Karty i w art. 10 Konwencji o ochronie praw człowieka i podstawowych wo</w:t>
      </w:r>
      <w:r>
        <w:rPr>
          <w:color w:val="000000"/>
        </w:rPr>
        <w:t xml:space="preserve">lności obejmuje prawo do otrzymywania i przekazywania informacji, a także wolność i pluralizm mediów. Dlatego też niniejsza dyrektywa opiera się na orzecznictwie Europejskiego Trybunału Praw Człowieka (ETPC) dotyczącym prawa do wolności wypowiedzi oraz na </w:t>
      </w:r>
      <w:r>
        <w:rPr>
          <w:color w:val="000000"/>
        </w:rPr>
        <w:t>zasadach opracowanych na tej podstawie przez Radę Europy w jej zaleceniu w sprawie ochrony sygnalistów przyjętym przez Komitet Ministrów Rady Europy w dniu 30 kwietnia 2014 r.</w:t>
      </w:r>
    </w:p>
    <w:p w:rsidR="00DF1EB6" w:rsidRDefault="002F1DC5">
      <w:pPr>
        <w:spacing w:before="25" w:after="0"/>
      </w:pPr>
      <w:r>
        <w:rPr>
          <w:color w:val="000000"/>
        </w:rPr>
        <w:t>(32) Aby korzystać z ochrony na mocy niniejszej dyrektywy, osoby dokonujące zgło</w:t>
      </w:r>
      <w:r>
        <w:rPr>
          <w:color w:val="000000"/>
        </w:rPr>
        <w:t>szenia powinny mieć uzasadnione podstawy, by sądzić, w świetle okoliczności i informacji, jakimi dysponują w momencie zgłaszania, że zgłaszane przez nie kwestie są prawdziwe. Wymóg ten stanowi niezbędne zabezpieczenie przed zgłoszeniami dokonywanymi w złej</w:t>
      </w:r>
      <w:r>
        <w:rPr>
          <w:color w:val="000000"/>
        </w:rPr>
        <w:t xml:space="preserve"> wierze, zgłoszeniami niepoważnymi lub stanowiącymi nadużycie, ponieważ zapewnia, aby osoby, które w momencie zgłaszania celowo i świadomie przekazały błędne lub wprowadzające w błąd informacje, nie korzystały z ochrony. Jednocześnie wymóg ten zapewnia, ab</w:t>
      </w:r>
      <w:r>
        <w:rPr>
          <w:color w:val="000000"/>
        </w:rPr>
        <w:t>y osoba dokonująca zgłoszenia nie została pozbawiona ochrony w przypadku, gdy zgłosiła niedokładne informacje na temat naruszeń wskutek niezamierzonego błędu. Podobnie osoby dokonujące zgłoszenia powinny być uprawnione do ochrony na mocy niniejszej dyrekty</w:t>
      </w:r>
      <w:r>
        <w:rPr>
          <w:color w:val="000000"/>
        </w:rPr>
        <w:t>wy, jeżeli mają uzasadnione podstawy, by sądzić, że informacje będące przedmiotem zgłoszenia są objęte jej zakresem stosowania. Motywy osób dokonujących zgłoszenia, jakimi kierują się dokonując zgłoszenia, nie powinny mieć znaczenia przy podejmowaniu decyz</w:t>
      </w:r>
      <w:r>
        <w:rPr>
          <w:color w:val="000000"/>
        </w:rPr>
        <w:t>ji, czy powinny one otrzymać ochronę.</w:t>
      </w:r>
    </w:p>
    <w:p w:rsidR="00DF1EB6" w:rsidRDefault="002F1DC5">
      <w:pPr>
        <w:spacing w:before="25" w:after="0"/>
      </w:pPr>
      <w:r>
        <w:rPr>
          <w:color w:val="000000"/>
        </w:rPr>
        <w:t>(33) Osobom dokonującym zgłoszenia zwykle przychodzi łatwiej dokonywanie zgłoszeń wewnętrznych, chyba że istnieją powody, dla których wolą dokonać zgłoszenia zewnętrznego. Badania empiryczne wykazują, że większość sygn</w:t>
      </w:r>
      <w:r>
        <w:rPr>
          <w:color w:val="000000"/>
        </w:rPr>
        <w:t xml:space="preserve">alistów dokonuje zgłoszeń wewnętrznych w ramach organizacji, w której pracują. Zgłoszenia wewnętrzne są również najlepszym sposobem na przekazanie informacji osobom, które mogą przyczynić się do wczesnego i skutecznego wyeliminowania zagrożeń dla interesu </w:t>
      </w:r>
      <w:r>
        <w:rPr>
          <w:color w:val="000000"/>
        </w:rPr>
        <w:t>publicznego. Jednocześnie osoba dokonująca zgłoszenia powinna mieć możliwość wyboru najwłaściwszego kanału do tego celu w zależności od indywidualnych okoliczności danej sprawy. Ponadto konieczna jest ochrona w zakresie ujawniania publicznego, z uwzględnie</w:t>
      </w:r>
      <w:r>
        <w:rPr>
          <w:color w:val="000000"/>
        </w:rPr>
        <w:t xml:space="preserve">niem zasad demokracji, takich jak przejrzystość i </w:t>
      </w:r>
      <w:proofErr w:type="spellStart"/>
      <w:r>
        <w:rPr>
          <w:color w:val="000000"/>
        </w:rPr>
        <w:t>rozliczalność</w:t>
      </w:r>
      <w:proofErr w:type="spellEnd"/>
      <w:r>
        <w:rPr>
          <w:color w:val="000000"/>
        </w:rPr>
        <w:t>, oraz praw podstawowych, takich jak wolność wypowiedzi oraz wolność i pluralizm mediów, przy jednoczesnym zachowaniu równowagi między interesem pracodawców w zakresie zarządzania organizacjami</w:t>
      </w:r>
      <w:r>
        <w:rPr>
          <w:color w:val="000000"/>
        </w:rPr>
        <w:t xml:space="preserve"> i ochrony ich interesów, z jednej strony, a interesem społeczeństwa w zakresie ochrony przed szkodą, z drugiej strony - zgodnie z kryteriami opracowanymi w orzecznictwie ETPC.</w:t>
      </w:r>
    </w:p>
    <w:p w:rsidR="00DF1EB6" w:rsidRDefault="002F1DC5">
      <w:pPr>
        <w:spacing w:before="25" w:after="0"/>
      </w:pPr>
      <w:r>
        <w:rPr>
          <w:color w:val="000000"/>
        </w:rPr>
        <w:lastRenderedPageBreak/>
        <w:t>(34) Bez uszczerbku dla istniejących na mocy prawa Unii obowiązków w zakresie a</w:t>
      </w:r>
      <w:r>
        <w:rPr>
          <w:color w:val="000000"/>
        </w:rPr>
        <w:t>nonimowego zgłaszania naruszeń, państwa członkowskie powinny mieć możliwość zdecydowania o tym, czy podmioty prawne w sektorze prywatnym i publicznym oraz właściwe organy mają obowiązek przyjmowania anonimowych zgłoszeń naruszeń objętych zakresem stosowani</w:t>
      </w:r>
      <w:r>
        <w:rPr>
          <w:color w:val="000000"/>
        </w:rPr>
        <w:t>a niniejszej dyrektywy i podejmowania w związku z nimi działań następczych. Jednakże osoby, które dokonały anonimowego zgłoszenia lub anonimowego ujawnienia publicznego wchodzącego w zakres stosowania niniejszej dyrektywy i które spełniają warunki niniejsz</w:t>
      </w:r>
      <w:r>
        <w:rPr>
          <w:color w:val="000000"/>
        </w:rPr>
        <w:t>ej dyrektywy, powinny być objęte ochroną na mocy niniejszej dyrektywy, jeżeli po dokonaniu zgłoszenia lub ujawnienia publicznego zostaną zidentyfikowane i doświadczą działań odwetowych.</w:t>
      </w:r>
    </w:p>
    <w:p w:rsidR="00DF1EB6" w:rsidRDefault="002F1DC5">
      <w:pPr>
        <w:spacing w:before="25" w:after="0"/>
      </w:pPr>
      <w:r>
        <w:rPr>
          <w:color w:val="000000"/>
        </w:rPr>
        <w:t xml:space="preserve">(35) W niniejszej dyrektywie należy wprowadzić ochronę w przypadkach, </w:t>
      </w:r>
      <w:r>
        <w:rPr>
          <w:color w:val="000000"/>
        </w:rPr>
        <w:t>gdy osoby dokonujące zgłoszenia kierują je, zgodnie z prawem Unii, do instytucji, organów lub jednostek organizacyjnych Unii, na przykład w związku z nadużyciami finansowymi dotyczącymi budżetu Unii.</w:t>
      </w:r>
    </w:p>
    <w:p w:rsidR="00DF1EB6" w:rsidRDefault="002F1DC5">
      <w:pPr>
        <w:spacing w:before="25" w:after="0"/>
      </w:pPr>
      <w:r>
        <w:rPr>
          <w:color w:val="000000"/>
        </w:rPr>
        <w:t>(36) Osoby, które pozyskują zgłaszane przez siebie infor</w:t>
      </w:r>
      <w:r>
        <w:rPr>
          <w:color w:val="000000"/>
        </w:rPr>
        <w:t>macje w ramach swojej działalności zawodowej i narażają się tym samym na ryzyko działań odwetowych w miejscu pracy, na przykład z uwagi na fakt, że dopuszczają się naruszenia obowiązku dochowania tajemnicy lub obowiązku lojalności, wymagają szczególnej och</w:t>
      </w:r>
      <w:r>
        <w:rPr>
          <w:color w:val="000000"/>
        </w:rPr>
        <w:t>rony prawnej. Osobom tym należy zapewnić taką szczególną ochronę z uwagi na ich wrażliwą sytuację ekonomiczną względem osoby, od której de facto zależy ich sytuacja zawodowa. W przypadku, gdy nie ma takiej nierównowagi sił wynikającej ze stosunku pracy, np</w:t>
      </w:r>
      <w:r>
        <w:rPr>
          <w:color w:val="000000"/>
        </w:rPr>
        <w:t>. w przypadku zwykłych skarg lub zgłaszania nieprawidłowości przez postronnych obywateli, ochrona przed działaniami odwetowymi nie jest konieczna.</w:t>
      </w:r>
    </w:p>
    <w:p w:rsidR="00DF1EB6" w:rsidRDefault="002F1DC5">
      <w:pPr>
        <w:spacing w:before="25" w:after="0"/>
      </w:pPr>
      <w:r>
        <w:rPr>
          <w:color w:val="000000"/>
        </w:rPr>
        <w:t>(37) Skuteczne egzekwowanie prawa Unii wymaga przyznania ochrony najszerszemu możliwemu zakresowi kategorii o</w:t>
      </w:r>
      <w:r>
        <w:rPr>
          <w:color w:val="000000"/>
        </w:rPr>
        <w:t xml:space="preserve">sób, które dysponują - niezależnie od tego, czy są obywatelami Unii, czy też obywatelami państwa trzeciego - z racji prowadzonej przez nie działalności zawodowej, bez względu na charakter tej działalności i niezależnie od pobierania wynagrodzenia z tytułu </w:t>
      </w:r>
      <w:r>
        <w:rPr>
          <w:color w:val="000000"/>
        </w:rPr>
        <w:t>jej prowadzenia, bezpośrednim dostępem do informacji o naruszeniach, których ujawnienie leży w interesie publicznym i za których zgłoszenie mogą doświadczyć działań odwetowych. Państwa członkowskie powinny zapewnić, aby potrzeba objęcia danej osoby ochroną</w:t>
      </w:r>
      <w:r>
        <w:rPr>
          <w:color w:val="000000"/>
        </w:rPr>
        <w:t xml:space="preserve"> była ustalana na podstawie wszystkich istotnych okoliczności danej sprawy, a nie tylko w oparciu o charakter relacji łączącej strony, tak aby zapewnić ochronę wszystkim osobom powiązanym, w szerokim znaczeniu, z organizacją, w której doszło do naruszenia.</w:t>
      </w:r>
    </w:p>
    <w:p w:rsidR="00DF1EB6" w:rsidRDefault="002F1DC5">
      <w:pPr>
        <w:spacing w:before="25" w:after="0"/>
      </w:pPr>
      <w:r>
        <w:rPr>
          <w:color w:val="000000"/>
        </w:rPr>
        <w:t xml:space="preserve">(38) Ochrona ta powinna obejmować w pierwszej kolejności osoby o statusie "pracowników" w rozumieniu </w:t>
      </w:r>
      <w:r>
        <w:rPr>
          <w:color w:val="1B1B1B"/>
        </w:rPr>
        <w:t>art. 45 ust. 1</w:t>
      </w:r>
      <w:r>
        <w:rPr>
          <w:color w:val="000000"/>
        </w:rPr>
        <w:t xml:space="preserve"> TFUE zgodnie z wykładnią Trybunału, czyli osoby, które przez określony czas wykonują na rzecz innej osoby i pod jej kierownictwem określone</w:t>
      </w:r>
      <w:r>
        <w:rPr>
          <w:color w:val="000000"/>
        </w:rPr>
        <w:t xml:space="preserve"> świadczenia w zamian za wynagrodzenie. Ochrona powinna zatem obejmować również osoby w niestandardowych stosunkach pracy, w tym osoby zatrudnione w niepełnym wymiarze czasu pracy i osoby zatrudnione na podstawie umowy o pracę na czas określony, a także os</w:t>
      </w:r>
      <w:r>
        <w:rPr>
          <w:color w:val="000000"/>
        </w:rPr>
        <w:t xml:space="preserve">oby zatrudnione na podstawie umowy o pracę lub na podstawie stosunku pracy z agencją pracy tymczasowej, co stanowi niepewne formy zatrudnienia, gdzie standardowe środki ochrony przed niesprawiedliwym traktowaniem są często trudne do zastosowania. </w:t>
      </w:r>
      <w:r>
        <w:rPr>
          <w:color w:val="000000"/>
        </w:rPr>
        <w:lastRenderedPageBreak/>
        <w:t>Pojęcie "</w:t>
      </w:r>
      <w:r>
        <w:rPr>
          <w:color w:val="000000"/>
        </w:rPr>
        <w:t>pracownika" obejmuje również urzędników służby cywilnej, pracowników państwowych, a także inne osoby pracujące w sektorze publicznym.</w:t>
      </w:r>
    </w:p>
    <w:p w:rsidR="00DF1EB6" w:rsidRDefault="002F1DC5">
      <w:pPr>
        <w:spacing w:before="25" w:after="0"/>
      </w:pPr>
      <w:r>
        <w:rPr>
          <w:color w:val="000000"/>
        </w:rPr>
        <w:t xml:space="preserve">(39) Ochrona powinna również objąć te kategorie osób fizycznych, które, mimo że nie są "pracownikami" w rozumieniu </w:t>
      </w:r>
      <w:r>
        <w:rPr>
          <w:color w:val="1B1B1B"/>
        </w:rPr>
        <w:t>art. 45</w:t>
      </w:r>
      <w:r>
        <w:rPr>
          <w:color w:val="1B1B1B"/>
        </w:rPr>
        <w:t xml:space="preserve"> ust. 1</w:t>
      </w:r>
      <w:r>
        <w:rPr>
          <w:color w:val="000000"/>
        </w:rPr>
        <w:t xml:space="preserve"> TFUE, mogą odgrywać kluczową rolę w ujawnianiu naruszeń prawa Unii i mogą znaleźć się we wrażliwej sytuacji ekonomicznej w kontekście swojej działalności zawodowej. Na przykład w odniesieniu do bezpieczeństwa produktów dostawcy są znacznie bliżej ź</w:t>
      </w:r>
      <w:r>
        <w:rPr>
          <w:color w:val="000000"/>
        </w:rPr>
        <w:t>ródła informacji o ewentualnych nieuczciwych i nielegalnych praktykach wytwarzania, przywozu lub dystrybucji niebezpiecznych produktów; natomiast w odniesieniu do wdrażania środków finansowych Unii konsultanci świadczący usługi doradcze są najlepiej usytuo</w:t>
      </w:r>
      <w:r>
        <w:rPr>
          <w:color w:val="000000"/>
        </w:rPr>
        <w:t xml:space="preserve">wane do zwracania uwagi na naruszenia, których są świadkami. Takie kategorie osób, jak na przykład usługodawcy prowadzący działalność na własny rachunek, </w:t>
      </w:r>
      <w:proofErr w:type="spellStart"/>
      <w:r>
        <w:rPr>
          <w:color w:val="000000"/>
        </w:rPr>
        <w:t>freelancerzy</w:t>
      </w:r>
      <w:proofErr w:type="spellEnd"/>
      <w:r>
        <w:rPr>
          <w:color w:val="000000"/>
        </w:rPr>
        <w:t>, wykonawcy, podwykonawcy i dostawcy, są zazwyczaj narażone na działania odwetowe, które m</w:t>
      </w:r>
      <w:r>
        <w:rPr>
          <w:color w:val="000000"/>
        </w:rPr>
        <w:t>ogą na przykład mieć formę wcześniejszego rozwiązania lub wypowiedzenia umowy o świadczenie usług, odebrania licencji lub zezwolenia, strat gospodarczych, utraty dochodu, przymusu, zastraszania lub mobbingu, umieszczenia na czarnej liście lub bojkotu dział</w:t>
      </w:r>
      <w:r>
        <w:rPr>
          <w:color w:val="000000"/>
        </w:rPr>
        <w:t>alności lub nadszarpnięcia reputacji. Akcjonariusze lub wspólnicy i osoby wchodzące w skład organów zarządzających także mogą doświadczyć działań odwetowych, np. pod względem finansowym lub w formie zastraszania lub mobbingu, wpisania na czarną listę lub n</w:t>
      </w:r>
      <w:r>
        <w:rPr>
          <w:color w:val="000000"/>
        </w:rPr>
        <w:t>adszarpnięcia reputacji. Ochronę należy również zapewnić osobom, których stosunek pracy ustał oraz osobom ubiegającym się o pracę lub świadczenie usług na rzecz organizacji, którzy uzyskali informacje na temat naruszeń podczas procesu rekrutacji lub na inn</w:t>
      </w:r>
      <w:r>
        <w:rPr>
          <w:color w:val="000000"/>
        </w:rPr>
        <w:t>ym etapie negocjacji poprzedzających zawarcie umowy i którzy mogą doświadczać działań odwetowych, np. w formie negatywnej opinii o pracy, wpisania na czarną listę lub bojkotu działalności.</w:t>
      </w:r>
    </w:p>
    <w:p w:rsidR="00DF1EB6" w:rsidRDefault="002F1DC5">
      <w:pPr>
        <w:spacing w:before="25" w:after="0"/>
      </w:pPr>
      <w:r>
        <w:rPr>
          <w:color w:val="000000"/>
        </w:rPr>
        <w:t>(40) Skuteczna ochrona sygnalistów oznacza również ochronę tych kat</w:t>
      </w:r>
      <w:r>
        <w:rPr>
          <w:color w:val="000000"/>
        </w:rPr>
        <w:t>egorii osób, które, mimo iż nie są w sensie ekonomicznym zależne od swojej działalności zawodowej, to jednak mogą doświadczyć działań odwetowych za zgłaszanie naruszeń. Działania odwetowe wobec wolontariuszy i stażystów, bez względu na to czy otrzymują oni</w:t>
      </w:r>
      <w:r>
        <w:rPr>
          <w:color w:val="000000"/>
        </w:rPr>
        <w:t xml:space="preserve"> wynagrodzenie, mogą polegać na zaprzestaniu korzystania z ich usług lub wystawieniu im negatywnej opinii o pracy lub nadszarpnięciu ich reputacji bądź zniweczeniu perspektyw kariery zawodowej w inny sposób.</w:t>
      </w:r>
    </w:p>
    <w:p w:rsidR="00DF1EB6" w:rsidRDefault="002F1DC5">
      <w:pPr>
        <w:spacing w:before="25" w:after="0"/>
      </w:pPr>
      <w:r>
        <w:rPr>
          <w:color w:val="000000"/>
        </w:rPr>
        <w:t>(41) Należy zapewnić ochronę przed działaniami o</w:t>
      </w:r>
      <w:r>
        <w:rPr>
          <w:color w:val="000000"/>
        </w:rPr>
        <w:t>dwetowymi podejmowanymi nie tylko bezpośrednio wobec osób dokonujących zgłoszenia, ale także przed działaniami odwetowymi, które mogą być podejmowane pośrednio, w tym wobec osób pomagających w dokonaniu zgłoszenia, współpracowników lub krewnych osoby dokon</w:t>
      </w:r>
      <w:r>
        <w:rPr>
          <w:color w:val="000000"/>
        </w:rPr>
        <w:t>ującej zgłoszenia, którzy są również związani zawodowo z pracodawcą, klientem lub usługobiorcą osoby dokonującej zgłoszenia. Bez uszczerbku dla ochrony, jaka przysługuje na mocy innych przepisów unijnych i krajowych przedstawicielom związków zawodowych lub</w:t>
      </w:r>
      <w:r>
        <w:rPr>
          <w:color w:val="000000"/>
        </w:rPr>
        <w:t xml:space="preserve"> przedstawicielom pracowników z tytułu działania przez nich w charakterze przedstawiciela, powinna im także przysługiwać ochrona przewidziana w niniejszej dyrektywie, zarówno w przypadku gdy dokonują zgłoszenia jako pracownicy, jak i w przypadku gdy udziel</w:t>
      </w:r>
      <w:r>
        <w:rPr>
          <w:color w:val="000000"/>
        </w:rPr>
        <w:t xml:space="preserve">ają porad i wsparcia osobie dokonującej zgłoszenia. Pośrednie działania odwetowe obejmują również działania podejmowane wobec podmiotu prawnego, który jest własnością osoby dokonującej </w:t>
      </w:r>
      <w:r>
        <w:rPr>
          <w:color w:val="000000"/>
        </w:rPr>
        <w:lastRenderedPageBreak/>
        <w:t>zgłoszenia, dla którego osoba ta pracuje lub z którym jest ona w inny s</w:t>
      </w:r>
      <w:r>
        <w:rPr>
          <w:color w:val="000000"/>
        </w:rPr>
        <w:t>posób związana w kontekście związanym z pracą, takie jak odmowę świadczenia usług, wpisanie na czarną listę lub bojkotowanie działalności gospodarczej.</w:t>
      </w:r>
    </w:p>
    <w:p w:rsidR="00DF1EB6" w:rsidRDefault="002F1DC5">
      <w:pPr>
        <w:spacing w:before="25" w:after="0"/>
      </w:pPr>
      <w:r>
        <w:rPr>
          <w:color w:val="000000"/>
        </w:rPr>
        <w:t>(42) Skuteczne wykrywanie poważnej szkody dla interesu publicznego i zapobieganie takiej szkodzie wymaga</w:t>
      </w:r>
      <w:r>
        <w:rPr>
          <w:color w:val="000000"/>
        </w:rPr>
        <w:t>, aby pojęcie naruszenia obejmowało również nadużycia prawa określone w orzecznictwie Trybunału, tj. działania lub zaniechania, które z pozoru nie wydają się być niezgodne z prawem w sensie formalnym, lecz są sprzeczne z przedmiotem lub celem prawa.</w:t>
      </w:r>
    </w:p>
    <w:p w:rsidR="00DF1EB6" w:rsidRDefault="002F1DC5">
      <w:pPr>
        <w:spacing w:before="25" w:after="0"/>
      </w:pPr>
      <w:r>
        <w:rPr>
          <w:color w:val="000000"/>
        </w:rPr>
        <w:t>(43) S</w:t>
      </w:r>
      <w:r>
        <w:rPr>
          <w:color w:val="000000"/>
        </w:rPr>
        <w:t xml:space="preserve">kuteczne zapobieganie naruszeniom prawa Unii wymaga zapewnienia ochrony osobom, które dostarczają informacji niezbędnych do ujawnienia naruszeń, które już miały miejsce; naruszeń, których jeszcze nie popełniono, ale istnieje bardzo duże prawdopodobieństwo </w:t>
      </w:r>
      <w:r>
        <w:rPr>
          <w:color w:val="000000"/>
        </w:rPr>
        <w:t xml:space="preserve">ich wystąpienia; działań lub </w:t>
      </w:r>
      <w:proofErr w:type="spellStart"/>
      <w:r>
        <w:rPr>
          <w:color w:val="000000"/>
        </w:rPr>
        <w:t>zaniechań</w:t>
      </w:r>
      <w:proofErr w:type="spellEnd"/>
      <w:r>
        <w:rPr>
          <w:color w:val="000000"/>
        </w:rPr>
        <w:t xml:space="preserve">, co do których osoba dokonująca zgłoszenia ma uzasadnione podstawy, by sądzić, że stanowią naruszenia; a także prób ukrycia naruszeń. Z tych samych powodów ochrona jest również uzasadniona w przypadku osób, które nie </w:t>
      </w:r>
      <w:r>
        <w:rPr>
          <w:color w:val="000000"/>
        </w:rPr>
        <w:t>dostarczają konkretnych dowodów, ale zgłaszają uzasadnione obawy lub podejrzenia. Jednocześnie ochroną nie powinno się obejmować osób zgłaszających informacje, które są już w pełni publicznie dostępne, ani w przypadku zgłaszania nieuzasadnionych plotek i p</w:t>
      </w:r>
      <w:r>
        <w:rPr>
          <w:color w:val="000000"/>
        </w:rPr>
        <w:t>ogłosek.</w:t>
      </w:r>
    </w:p>
    <w:p w:rsidR="00DF1EB6" w:rsidRDefault="002F1DC5">
      <w:pPr>
        <w:spacing w:before="25" w:after="0"/>
      </w:pPr>
      <w:r>
        <w:rPr>
          <w:color w:val="000000"/>
        </w:rPr>
        <w:t>(44) Między zgłoszeniem a doświadczeniem niekorzystnego traktowania, bezpośrednio lub pośrednio, przez osobę dokonującą zgłoszenia powinien zachodzić ścisły związek przyczynowo-skutkowy, aby można było uznać niekorzystne traktowanie za działania o</w:t>
      </w:r>
      <w:r>
        <w:rPr>
          <w:color w:val="000000"/>
        </w:rPr>
        <w:t xml:space="preserve">dwetowe i aby osoba dokonująca zgłoszenia mogła w rezultacie skorzystać z ochrony prawnej w tym zakresie. Skuteczna ochrona osób dokonujących zgłoszenia jako środek poprawy egzekwowania prawa Unii wymaga szerokiej definicji działań odwetowych, obejmującej </w:t>
      </w:r>
      <w:r>
        <w:rPr>
          <w:color w:val="000000"/>
        </w:rPr>
        <w:t xml:space="preserve">wszelkie działania lub zaniechania mające miejsce w kontekście związanym z pracą, które przynoszą tym osobom szkodę. Niniejsza dyrektywa nie powinna jednak uniemożliwiać pracodawcom podejmowania decyzji związanych z zatrudnieniem, które nie są spowodowane </w:t>
      </w:r>
      <w:r>
        <w:rPr>
          <w:color w:val="000000"/>
        </w:rPr>
        <w:t>zgłoszeniem lub ujawnieniem publicznym.</w:t>
      </w:r>
    </w:p>
    <w:p w:rsidR="00DF1EB6" w:rsidRDefault="002F1DC5">
      <w:pPr>
        <w:spacing w:before="25" w:after="0"/>
      </w:pPr>
      <w:r>
        <w:rPr>
          <w:color w:val="000000"/>
        </w:rPr>
        <w:t xml:space="preserve">(45) Ochronę przed działaniami odwetowymi jako środek chroniący wolność wypowiedzi oraz wolność i pluralizm mediów należy zapewnić zarówno osobom zgłaszającym informacje o działaniach lub </w:t>
      </w:r>
      <w:proofErr w:type="spellStart"/>
      <w:r>
        <w:rPr>
          <w:color w:val="000000"/>
        </w:rPr>
        <w:t>zaniechaniach</w:t>
      </w:r>
      <w:proofErr w:type="spellEnd"/>
      <w:r>
        <w:rPr>
          <w:color w:val="000000"/>
        </w:rPr>
        <w:t xml:space="preserve"> w obrębie orga</w:t>
      </w:r>
      <w:r>
        <w:rPr>
          <w:color w:val="000000"/>
        </w:rPr>
        <w:t xml:space="preserve">nizacji ("zgłoszenia wewnętrzne") lub organowi zewnętrznemu ("zgłoszenia zewnętrzne"), jak i osobom ujawniającym takie informacje opinii publicznej, np. bezpośrednio opinii publicznej za pośrednictwem platform </w:t>
      </w:r>
      <w:proofErr w:type="spellStart"/>
      <w:r>
        <w:rPr>
          <w:color w:val="000000"/>
        </w:rPr>
        <w:t>online</w:t>
      </w:r>
      <w:proofErr w:type="spellEnd"/>
      <w:r>
        <w:rPr>
          <w:color w:val="000000"/>
        </w:rPr>
        <w:t xml:space="preserve"> lub mediów </w:t>
      </w:r>
      <w:proofErr w:type="spellStart"/>
      <w:r>
        <w:rPr>
          <w:color w:val="000000"/>
        </w:rPr>
        <w:t>społecznościowych</w:t>
      </w:r>
      <w:proofErr w:type="spellEnd"/>
      <w:r>
        <w:rPr>
          <w:color w:val="000000"/>
        </w:rPr>
        <w:t xml:space="preserve"> lub mediom</w:t>
      </w:r>
      <w:r>
        <w:rPr>
          <w:color w:val="000000"/>
        </w:rPr>
        <w:t>, urzędnikom pochodzącym z wyboru, organizacjom społeczeństwa obywatelskiego, związkom zawodowym lub organizacjom zawodowym i biznesowym.</w:t>
      </w:r>
    </w:p>
    <w:p w:rsidR="00DF1EB6" w:rsidRDefault="002F1DC5">
      <w:pPr>
        <w:spacing w:before="25" w:after="0"/>
      </w:pPr>
      <w:r>
        <w:rPr>
          <w:color w:val="000000"/>
        </w:rPr>
        <w:t>(46) Sygnaliści są w szczególności ważnym źródłem dla dziennikarzy śledczych. Zapewnienie sygnalistom skutecznej ochro</w:t>
      </w:r>
      <w:r>
        <w:rPr>
          <w:color w:val="000000"/>
        </w:rPr>
        <w:t>ny przed działaniami odwetowymi zwiększa pewność prawa dla potencjalnych sygnalistów i tym samym zachęca do sygnalizowania naruszeń również za pośrednictwem mediów. W tym kontekście ochrona sygnalistów jako źródła dziennikarskiego ma zasadnicze znaczenie d</w:t>
      </w:r>
      <w:r>
        <w:rPr>
          <w:color w:val="000000"/>
        </w:rPr>
        <w:t>la "strażniczej" roli, jaką pełnią dziennikarze śledczy w demokratycznym społeczeństwie.</w:t>
      </w:r>
    </w:p>
    <w:p w:rsidR="00DF1EB6" w:rsidRDefault="002F1DC5">
      <w:pPr>
        <w:spacing w:before="25" w:after="0"/>
      </w:pPr>
      <w:r>
        <w:rPr>
          <w:color w:val="000000"/>
        </w:rPr>
        <w:t>(47) Dla skutecznego wykrywania naruszeń prawa Unii i zapobiegania im istotne jest, aby odpowiednie informacje docierały szybko do osób znajdujących się najbliżej źród</w:t>
      </w:r>
      <w:r>
        <w:rPr>
          <w:color w:val="000000"/>
        </w:rPr>
        <w:t xml:space="preserve">ła </w:t>
      </w:r>
      <w:r>
        <w:rPr>
          <w:color w:val="000000"/>
        </w:rPr>
        <w:lastRenderedPageBreak/>
        <w:t>problemu, które dysponują największymi możliwościami zbadania danego problemu oraz uprawnieniami do jego rozwiązania, o ile jest to możliwe. Dlatego też co do zasady osoby dokonujące zgłoszenia powinny być zachęcane do korzystania w pierwszej kolejności</w:t>
      </w:r>
      <w:r>
        <w:rPr>
          <w:color w:val="000000"/>
        </w:rPr>
        <w:t xml:space="preserve"> z wewnętrznych kanałów dokonywania zgłoszeń i dokonywania zgłoszeń swojemu pracodawcy, jeżeli mogą z takich kanałów korzystać i rozsądnie oczekiwać, że zgłoszenie dokonane w taki sposób odniesie skutek. Dotyczy to w szczególności przypadków, gdy osoby dok</w:t>
      </w:r>
      <w:r>
        <w:rPr>
          <w:color w:val="000000"/>
        </w:rPr>
        <w:t>onujące zgłoszenia uważają, że naruszeniu można skutecznie zaradzić w ramach danej organizacji i nie zachodzi ryzyko działań odwetowych. W rezultacie podmioty prawne w sektorze prywatnym i publicznym powinny ustanowić odpowiednie wewnętrzne procedury przyj</w:t>
      </w:r>
      <w:r>
        <w:rPr>
          <w:color w:val="000000"/>
        </w:rPr>
        <w:t>mowania zgłoszeń i podejmowania działań następczych w związku z nimi. Taka zachęta odnosi się również do przypadków, gdy tego rodzaju kanały zostały ustanowione, mimo iż nie istniał taki obowiązek na mocy prawa Unii lub prawa krajowego. Zasada ta powinna p</w:t>
      </w:r>
      <w:r>
        <w:rPr>
          <w:color w:val="000000"/>
        </w:rPr>
        <w:t>rzyczynić się do promowania w organizacjach dobrej komunikacji i społecznej odpowiedzialności przedsiębiorstw, gdzie osoby dokonujące zgłoszenia postrzega się jako osoby istotnie przyczyniające się do samodzielnej naprawy i doskonałości w ramach organizacj</w:t>
      </w:r>
      <w:r>
        <w:rPr>
          <w:color w:val="000000"/>
        </w:rPr>
        <w:t>i.</w:t>
      </w:r>
    </w:p>
    <w:p w:rsidR="00DF1EB6" w:rsidRDefault="002F1DC5">
      <w:pPr>
        <w:spacing w:before="25" w:after="0"/>
      </w:pPr>
      <w:r>
        <w:rPr>
          <w:color w:val="000000"/>
        </w:rPr>
        <w:t>(48) W przypadku podmiotów prawnych w sektorze prywatnym obowiązek ustanowienia wewnętrznych kanałów dokonywania zgłoszeń powinien być proporcjonalny do ich wielkości oraz poziomu ryzyka, jakie ich działalność stwarza dla interesu publicznego. Obowiązek</w:t>
      </w:r>
      <w:r>
        <w:rPr>
          <w:color w:val="000000"/>
        </w:rPr>
        <w:t xml:space="preserve"> ustanowienia wewnętrznych kanałów dokonywania zgłoszeń powinien zostać nałożony na wszystkie przedsiębiorstwa zatrudniające co najmniej 50 pracowników - niezależnie od charakteru ich działalności - na podstawie obowiązku poboru VAT. Po dokonaniu odpowiedn</w:t>
      </w:r>
      <w:r>
        <w:rPr>
          <w:color w:val="000000"/>
        </w:rPr>
        <w:t>iej oceny ryzyka państwa członkowskie powinny mieć możliwość, w szczególnych przypadkach, wymagania również od innych przedsiębiorstw ustanowienia wewnętrznych kanałów dokonywania zgłoszeń, np. ze względu na znaczące ryzyko wynikające z ich działalności.</w:t>
      </w:r>
    </w:p>
    <w:p w:rsidR="00DF1EB6" w:rsidRDefault="002F1DC5">
      <w:pPr>
        <w:spacing w:before="25" w:after="0"/>
      </w:pPr>
      <w:r>
        <w:rPr>
          <w:color w:val="000000"/>
        </w:rPr>
        <w:t>(</w:t>
      </w:r>
      <w:r>
        <w:rPr>
          <w:color w:val="000000"/>
        </w:rPr>
        <w:t>49) Niniejsza dyrektywa nie powinna uniemożliwiać państwom członkowskim zachęcania podmiotów prawnych w sektorze prywatnym zatrudniających mniej niż 50 pracowników do ustanawiania wewnętrznych kanałów dokonywania zgłoszeń i podejmowania działań następczych</w:t>
      </w:r>
      <w:r>
        <w:rPr>
          <w:color w:val="000000"/>
        </w:rPr>
        <w:t>, w tym poprzez wprowadzenie wymogów w zakresie tych kanałów, które byłyby mniej nakazowe niż wymogi ustanowione w niniejszej dyrektywie, pod warunkiem że wymogi takie gwarantują poufność i podejmowanie działań następczych z zachowaniem należytej starannoś</w:t>
      </w:r>
      <w:r>
        <w:rPr>
          <w:color w:val="000000"/>
        </w:rPr>
        <w:t>ci.</w:t>
      </w:r>
    </w:p>
    <w:p w:rsidR="00DF1EB6" w:rsidRDefault="002F1DC5">
      <w:pPr>
        <w:spacing w:before="25" w:after="0"/>
      </w:pPr>
      <w:r>
        <w:rPr>
          <w:color w:val="000000"/>
        </w:rPr>
        <w:t xml:space="preserve">(50) Zwolnienie małych przedsiębiorstw i </w:t>
      </w:r>
      <w:proofErr w:type="spellStart"/>
      <w:r>
        <w:rPr>
          <w:color w:val="000000"/>
        </w:rPr>
        <w:t>mikroprzedsiębiorstw</w:t>
      </w:r>
      <w:proofErr w:type="spellEnd"/>
      <w:r>
        <w:rPr>
          <w:color w:val="000000"/>
        </w:rPr>
        <w:t xml:space="preserve"> z obowiązku ustanawiania wewnętrznych kanałów dokonywania zgłoszeń nie powinno mieć zastosowania do przedsiębiorstw prywatnych, które są zobowiązane do ustanowienia wewnętrznych kanałów doko</w:t>
      </w:r>
      <w:r>
        <w:rPr>
          <w:color w:val="000000"/>
        </w:rPr>
        <w:t>nywania zgłoszeń na mocy aktów Unii wymienionych w załączniku część I.B i II.</w:t>
      </w:r>
    </w:p>
    <w:p w:rsidR="00DF1EB6" w:rsidRDefault="002F1DC5">
      <w:pPr>
        <w:spacing w:before="25" w:after="0"/>
      </w:pPr>
      <w:r>
        <w:rPr>
          <w:color w:val="000000"/>
        </w:rPr>
        <w:t>(51) Powinno być jasne, że w przypadku podmiotów prawnych w sektorze prywatnym, które nie zapewniają wewnętrznych kanałów dokonywania zgłoszeń, osoby dokonujące zgłoszenia powinn</w:t>
      </w:r>
      <w:r>
        <w:rPr>
          <w:color w:val="000000"/>
        </w:rPr>
        <w:t>y mieć możliwość dokonywania zgłoszeń zewnętrznych do właściwych organów i powinny być objęte ochroną przed działaniami odwetowymi przewidzianą w niniejszej dyrektywie.</w:t>
      </w:r>
    </w:p>
    <w:p w:rsidR="00DF1EB6" w:rsidRDefault="002F1DC5">
      <w:pPr>
        <w:spacing w:before="25" w:after="0"/>
      </w:pPr>
      <w:r>
        <w:rPr>
          <w:color w:val="000000"/>
        </w:rPr>
        <w:lastRenderedPageBreak/>
        <w:t>(52) W celu zapewnienia, w szczególności, przestrzegania przepisów dotyczących zamówień</w:t>
      </w:r>
      <w:r>
        <w:rPr>
          <w:color w:val="000000"/>
        </w:rPr>
        <w:t xml:space="preserve"> publicznych w sektorze publicznym obowiązek ustanowienia wewnętrznych kanałów dokonywania zgłoszeń powinien mieć zastosowanie do wszystkich instytucji zamawiających i podmiotów zamawiających na poziomie lokalnym, regionalnym i krajowym, przy czym powinien</w:t>
      </w:r>
      <w:r>
        <w:rPr>
          <w:color w:val="000000"/>
        </w:rPr>
        <w:t xml:space="preserve"> być proporcjonalny do ich wielkości.</w:t>
      </w:r>
    </w:p>
    <w:p w:rsidR="00DF1EB6" w:rsidRDefault="002F1DC5">
      <w:pPr>
        <w:spacing w:before="25" w:after="0"/>
      </w:pPr>
      <w:r>
        <w:rPr>
          <w:color w:val="000000"/>
        </w:rPr>
        <w:t>(53) Z zastrzeżeniem zapewnienia poufności tożsamości osoby dokonującej zgłoszenia każdy podmiot prawny w sektorze prywatnym i publicznym sam określa, jakiego rodzaju kanały dokonywania zgłoszeń ustanowi. W szczególnoś</w:t>
      </w:r>
      <w:r>
        <w:rPr>
          <w:color w:val="000000"/>
        </w:rPr>
        <w:t xml:space="preserve">ci kanały dokonywania zgłoszeń powinny umożliwiać osobom dokonywanie zgłoszeń na piśmie oraz przekazywanie zgłoszeń drogą pocztową, za pośrednictwem fizycznych skrzynek na skargi lub na platformie </w:t>
      </w:r>
      <w:proofErr w:type="spellStart"/>
      <w:r>
        <w:rPr>
          <w:color w:val="000000"/>
        </w:rPr>
        <w:t>online</w:t>
      </w:r>
      <w:proofErr w:type="spellEnd"/>
      <w:r>
        <w:rPr>
          <w:color w:val="000000"/>
        </w:rPr>
        <w:t xml:space="preserve">, </w:t>
      </w:r>
      <w:proofErr w:type="spellStart"/>
      <w:r>
        <w:rPr>
          <w:color w:val="000000"/>
        </w:rPr>
        <w:t>intra</w:t>
      </w:r>
      <w:proofErr w:type="spellEnd"/>
      <w:r>
        <w:rPr>
          <w:color w:val="000000"/>
        </w:rPr>
        <w:t xml:space="preserve">- lub internetowej, bądź dokonywanie zgłoszeń </w:t>
      </w:r>
      <w:r>
        <w:rPr>
          <w:color w:val="000000"/>
        </w:rPr>
        <w:t>ustnie, za pośrednictwem gorącej linii lub innego systemu komunikacji głosowej. Na wniosek osoby dokonującej zgłoszenia kanały takie powinny również umożliwiać dokonywanie zgłoszeń za pośrednictwem bezpośrednich spotkań, w rozsądnym terminie.</w:t>
      </w:r>
    </w:p>
    <w:p w:rsidR="00DF1EB6" w:rsidRDefault="002F1DC5">
      <w:pPr>
        <w:spacing w:before="25" w:after="0"/>
      </w:pPr>
      <w:r>
        <w:rPr>
          <w:color w:val="000000"/>
        </w:rPr>
        <w:t>(54) Do przyj</w:t>
      </w:r>
      <w:r>
        <w:rPr>
          <w:color w:val="000000"/>
        </w:rPr>
        <w:t>mowania zgłoszeń naruszeń w imieniu podmiotów prawnych w sektorze prywatnym i publicznym mogą również zostać upoważnione osoby trzecie, pod warunkiem że zapewniają należyte gwarancje poszanowania niezależności, poufności, ochrony danych i zachowania tajemn</w:t>
      </w:r>
      <w:r>
        <w:rPr>
          <w:color w:val="000000"/>
        </w:rPr>
        <w:t>icy. Takimi osobami trzecimi mogą być dostawcy platform na potrzeby zgłoszeń zewnętrznych, zewnętrzni doradcy, audytorzy, przedstawiciele związków zawodowych lub przedstawiciele pracowników.</w:t>
      </w:r>
    </w:p>
    <w:p w:rsidR="00DF1EB6" w:rsidRDefault="002F1DC5">
      <w:pPr>
        <w:spacing w:before="25" w:after="0"/>
      </w:pPr>
      <w:r>
        <w:rPr>
          <w:color w:val="000000"/>
        </w:rPr>
        <w:t>(55) Wewnętrzne procedury dokonywania zgłoszeń powinny umożliwiać</w:t>
      </w:r>
      <w:r>
        <w:rPr>
          <w:color w:val="000000"/>
        </w:rPr>
        <w:t xml:space="preserve"> podmiotom prawnym w sektorze prywatnym przyjmowanie zgłoszeń od pracowników podmiotu i jego jednostek zależnych lub powiązanych ("grupy"), ale także, w miarę możliwości, od wszelkich przedstawicieli i dostawców grupy oraz osób, które uzyskują informacje w</w:t>
      </w:r>
      <w:r>
        <w:rPr>
          <w:color w:val="000000"/>
        </w:rPr>
        <w:t xml:space="preserve"> ramach swojej działalności zawodowej związanej z danym podmiotem i grupą, i badanie tych zgłoszeń z zachowaniem pełnej poufności.</w:t>
      </w:r>
    </w:p>
    <w:p w:rsidR="00DF1EB6" w:rsidRDefault="002F1DC5">
      <w:pPr>
        <w:spacing w:before="25" w:after="0"/>
      </w:pPr>
      <w:r>
        <w:rPr>
          <w:color w:val="000000"/>
        </w:rPr>
        <w:t>(56) Wybór najwłaściwszych osób lub wydziałów w ramach podmiotu prawnego w sektorze prywatnym, które mają zostać wyznaczone j</w:t>
      </w:r>
      <w:r>
        <w:rPr>
          <w:color w:val="000000"/>
        </w:rPr>
        <w:t>ako właściwe do przyjmowania zgłoszeń i podejmowania działań następczych w związku z nimi, zależy od struktury danego podmiotu, ale w każdym przypadku ich funkcja powinna zapewniać brak konfliktu interesów i niezależność. W przypadku mniejszych podmiotów f</w:t>
      </w:r>
      <w:r>
        <w:rPr>
          <w:color w:val="000000"/>
        </w:rPr>
        <w:t>unkcja ta może być podwójną funkcją sprawowaną przez osobę odpowiedzialną za określone zadania w przedsiębiorstwie, której stanowisko umożliwia zgłaszanie naruszeń bezpośrednio dyrektorowi organizacji, może to być np. dyrektor ds. zgodności z przepisami lu</w:t>
      </w:r>
      <w:r>
        <w:rPr>
          <w:color w:val="000000"/>
        </w:rPr>
        <w:t xml:space="preserve">b dyrektor ds. zasobów ludzkich, urzędnik ds. etyki, urzędnik ds. prawnych lub ds. prywatności, dyrektor </w:t>
      </w:r>
      <w:proofErr w:type="spellStart"/>
      <w:r>
        <w:rPr>
          <w:color w:val="000000"/>
        </w:rPr>
        <w:t>finansowy</w:t>
      </w:r>
      <w:proofErr w:type="spellEnd"/>
      <w:r>
        <w:rPr>
          <w:color w:val="000000"/>
        </w:rPr>
        <w:t>, dyrektor ds. audytu lub członek zarządu.</w:t>
      </w:r>
    </w:p>
    <w:p w:rsidR="00DF1EB6" w:rsidRDefault="002F1DC5">
      <w:pPr>
        <w:spacing w:before="25" w:after="0"/>
      </w:pPr>
      <w:r>
        <w:rPr>
          <w:color w:val="000000"/>
        </w:rPr>
        <w:t>(57) W kontekście zgłoszeń wewnętrznych informowanie - w granicach dozwolonych prawem i w jak najba</w:t>
      </w:r>
      <w:r>
        <w:rPr>
          <w:color w:val="000000"/>
        </w:rPr>
        <w:t>rdziej kompleksowy sposób - osoby dokonującej zgłoszenia o działaniach następczych w związku ze zgłoszeniem ma zasadnicze znaczenie dla budowania zaufania do skuteczności całego systemu ochrony sygnalistów oraz zmniejsza prawdopodobieństwo kolejnych niepot</w:t>
      </w:r>
      <w:r>
        <w:rPr>
          <w:color w:val="000000"/>
        </w:rPr>
        <w:t xml:space="preserve">rzebnych zgłoszeń lub ujawniania publicznego. Osobę dokonującą zgłoszenia należy poinformować w rozsądnym terminie o planowanych lub podjętych działaniach następczych w związku ze zgłoszeniem i o powodach dokonania </w:t>
      </w:r>
      <w:r>
        <w:rPr>
          <w:color w:val="000000"/>
        </w:rPr>
        <w:lastRenderedPageBreak/>
        <w:t>wyboru takich działań następczych. Działa</w:t>
      </w:r>
      <w:r>
        <w:rPr>
          <w:color w:val="000000"/>
        </w:rPr>
        <w:t>nia następcze mogą obejmować, na przykład, skierowanie sprawy do innych kanałów lub procedur w przypadku zgłoszeń dotyczących jedynie praw indywidualnych osoby dokonującej zgłoszenia, zakończenie procedury z powodu braku wystarczających dowodów lub z innyc</w:t>
      </w:r>
      <w:r>
        <w:rPr>
          <w:color w:val="000000"/>
        </w:rPr>
        <w:t xml:space="preserve">h powodów, wszczęcie dochodzenia wewnętrznego oraz, ewentualnie, dokonane w jego toku ustalenia lub środki podjęte w celu zaradzenia podniesionej kwestii, przekazanie sprawy do właściwego organu w celu przeprowadzenia dalszego postępowania wyjaśniającego, </w:t>
      </w:r>
      <w:r>
        <w:rPr>
          <w:color w:val="000000"/>
        </w:rPr>
        <w:t>o ile informacje te pozostaną bez uszczerbku dla dochodzenia wewnętrznego lub postępowania wyjaśniającego lub dla praw osoby, której dotyczy zgłoszenie. We wszystkich przypadkach osobę dokonującą zgłoszenia należy informować o postępach i wynikach postępow</w:t>
      </w:r>
      <w:r>
        <w:rPr>
          <w:color w:val="000000"/>
        </w:rPr>
        <w:t>ania wyjaśniającego. Powinna istnieć możliwość zwrócenia się do osoby dokonującej zgłoszenia o przekazanie dalszych informacji w toku postępowania wyjaśniającego, bez obowiązku natomiast przekazywania takich informacji.</w:t>
      </w:r>
    </w:p>
    <w:p w:rsidR="00DF1EB6" w:rsidRDefault="002F1DC5">
      <w:pPr>
        <w:spacing w:before="25" w:after="0"/>
      </w:pPr>
      <w:r>
        <w:rPr>
          <w:color w:val="000000"/>
        </w:rPr>
        <w:t xml:space="preserve">(58) Rozsądny termin poinformowania </w:t>
      </w:r>
      <w:r>
        <w:rPr>
          <w:color w:val="000000"/>
        </w:rPr>
        <w:t>osoby dokonującej zgłoszenia nie powinien przekraczać trzech miesięcy. Jeżeli nadal trwają ustalenia dotyczące odpowiednich działań następczych, należy poinformować osobę dokonującą zgłoszenia o tym fakcie i o wszelkich dalszych informacjach zwrotnych, jak</w:t>
      </w:r>
      <w:r>
        <w:rPr>
          <w:color w:val="000000"/>
        </w:rPr>
        <w:t>ich należy oczekiwać.</w:t>
      </w:r>
    </w:p>
    <w:p w:rsidR="00DF1EB6" w:rsidRDefault="002F1DC5">
      <w:pPr>
        <w:spacing w:before="25" w:after="0"/>
      </w:pPr>
      <w:r>
        <w:rPr>
          <w:color w:val="000000"/>
        </w:rPr>
        <w:t xml:space="preserve">(59) Osoby, które rozważają zgłoszenie naruszeń prawa Unii, powinny mieć możliwość podjęcia świadomej decyzji o tym, czy, jak i kiedy dokonać zgłoszenia. Podmioty prawne w sektorze prywatnym i publicznym, które ustanowiły wewnętrzne </w:t>
      </w:r>
      <w:r>
        <w:rPr>
          <w:color w:val="000000"/>
        </w:rPr>
        <w:t>procedury dokonywania zgłoszeń, powinny być zobowiązanie do udzielania informacji na temat tych procedur, a także na temat zewnętrznych procedur dokonywania zgłoszeń do odpowiednich właściwych organów. Istotne jest, aby takie informacje były zrozumiałe i ł</w:t>
      </w:r>
      <w:r>
        <w:rPr>
          <w:color w:val="000000"/>
        </w:rPr>
        <w:t>atwo dostępne, w tym, o ile to możliwe, także dla osób innych niż pracownicy, które mają kontakt z danym podmiotem w ramach swojej działalności zawodowej, takich jak usługodawcy, dystrybutorzy, dostawcy i partnerzy handlowi. Przykładowo takie informacje mo</w:t>
      </w:r>
      <w:r>
        <w:rPr>
          <w:color w:val="000000"/>
        </w:rPr>
        <w:t>gą być umieszczane w widocznym miejscu dostępnym dla wszystkich takich osób oraz na stronie internetowej podmiotu, a także mogą być uwzględniane w programach kursów i szkoleń na temat etyki i uczciwości.</w:t>
      </w:r>
    </w:p>
    <w:p w:rsidR="00DF1EB6" w:rsidRDefault="002F1DC5">
      <w:pPr>
        <w:spacing w:before="25" w:after="0"/>
      </w:pPr>
      <w:r>
        <w:rPr>
          <w:color w:val="000000"/>
        </w:rPr>
        <w:t>(60) Skuteczne wykrywanie naruszeń prawa Unii i zapo</w:t>
      </w:r>
      <w:r>
        <w:rPr>
          <w:color w:val="000000"/>
        </w:rPr>
        <w:t>bieganie tym naruszeniom wymaga zapewnienia, aby potencjalni sygnaliści mogli łatwo i z zachowaniem pełnej poufności przekazywać posiadane przez siebie informacje odpowiednim właściwym organom, które mogą przeprowadzić postępowanie wyjaśniające i rozwiązać</w:t>
      </w:r>
      <w:r>
        <w:rPr>
          <w:color w:val="000000"/>
        </w:rPr>
        <w:t xml:space="preserve"> problem, w miarę możliwości.</w:t>
      </w:r>
    </w:p>
    <w:p w:rsidR="00DF1EB6" w:rsidRDefault="002F1DC5">
      <w:pPr>
        <w:spacing w:before="25" w:after="0"/>
      </w:pPr>
      <w:r>
        <w:rPr>
          <w:color w:val="000000"/>
        </w:rPr>
        <w:t>(61) Może się zdarzyć, że kanały wewnętrzne nie istnieją lub że zostały wykorzystane, lecz nie funkcjonowały prawidłowo, na przykład gdy zgłoszenie nie zostało rozpatrzone z zachowaniem należytej staranności lub w rozsądnym te</w:t>
      </w:r>
      <w:r>
        <w:rPr>
          <w:color w:val="000000"/>
        </w:rPr>
        <w:t>rminie lub nie podjęto - mimo potwierdzenia naruszenia w odnośnym dochodzeniu wewnętrznym - odpowiednich działań w celu zaradzenia naruszeniu prawa.</w:t>
      </w:r>
    </w:p>
    <w:p w:rsidR="00DF1EB6" w:rsidRDefault="002F1DC5">
      <w:pPr>
        <w:spacing w:before="25" w:after="0"/>
      </w:pPr>
      <w:r>
        <w:rPr>
          <w:color w:val="000000"/>
        </w:rPr>
        <w:t>(62) Istnieją też przypadki, gdy nie można było racjonalnie oczekiwać, by wykorzystanie kanałów wewnętrznyc</w:t>
      </w:r>
      <w:r>
        <w:rPr>
          <w:color w:val="000000"/>
        </w:rPr>
        <w:t xml:space="preserve">h funkcjonowało prawidłowo. Są to w szczególności sytuacje, w których osoby dokonujące zgłoszenia mają uzasadnione powody, by sądzić, że doświadczą działań odwetowych w związku z dokonaniem zgłoszenia, w tym na skutek naruszenia poufności, lub że właściwe </w:t>
      </w:r>
      <w:r>
        <w:rPr>
          <w:color w:val="000000"/>
        </w:rPr>
        <w:t xml:space="preserve">organy byłyby lepiej przygotowane do podjęcia skutecznych działań w celu zaradzenia naruszeniu. Właściwe organy byłyby lepiej przygotowane, jeżeli, </w:t>
      </w:r>
      <w:r>
        <w:rPr>
          <w:color w:val="000000"/>
        </w:rPr>
        <w:lastRenderedPageBreak/>
        <w:t>na przykład, osoba, na której spoczywa ostateczna odpowiedzialność w kontekście związanym z pracą, uczestnic</w:t>
      </w:r>
      <w:r>
        <w:rPr>
          <w:color w:val="000000"/>
        </w:rPr>
        <w:t>zy w naruszeniu lub istnieje ryzyko ukrycia naruszenia albo ukrycia lub zniszczenia dowodów; lub, ogólniej, mogłaby być zagrożona skuteczność czynności postępowania wyjaśniającego prowadzonych przez właściwe organy, na przykład w przypadku będących przedmi</w:t>
      </w:r>
      <w:r>
        <w:rPr>
          <w:color w:val="000000"/>
        </w:rPr>
        <w:t>otem zgłoszenia porozumień dotyczących karteli lub innych naruszeń zasad konkurencji; lub w związku z naruszeniem konieczne są pilne działania służące na przykład ochronie zdrowia i bezpieczeństwa osób lub ochronie środowiska. W każdym przypadku osoby doko</w:t>
      </w:r>
      <w:r>
        <w:rPr>
          <w:color w:val="000000"/>
        </w:rPr>
        <w:t>nujące zgłoszenia zewnętrznego do właściwych organów lub, w stosownych przypadkach, instytucji, organu lub jednostki organizacyjnej Unii powinny podlegać ochronie. Niniejsza dyrektywa powinna również przyznawać ochronę w przypadku, gdy osoby dokonujące zgł</w:t>
      </w:r>
      <w:r>
        <w:rPr>
          <w:color w:val="000000"/>
        </w:rPr>
        <w:t>oszenia są zobowiązane na mocy prawa Unii lub prawa krajowego, by zwrócić się do właściwego organu krajowego, na przykład w ramach swoich zadań i obowiązków zawodowych lub ze względu na to, że dane naruszenie stanowi czyn zabroniony.</w:t>
      </w:r>
    </w:p>
    <w:p w:rsidR="00DF1EB6" w:rsidRDefault="002F1DC5">
      <w:pPr>
        <w:spacing w:before="25" w:after="0"/>
      </w:pPr>
      <w:r>
        <w:rPr>
          <w:color w:val="000000"/>
        </w:rPr>
        <w:t>(63) Brak wiary w skut</w:t>
      </w:r>
      <w:r>
        <w:rPr>
          <w:color w:val="000000"/>
        </w:rPr>
        <w:t>eczność zgłaszania naruszeń jest jednym z głównych czynników zniechęcających potencjalnych sygnalistów. Dlatego też konieczne jest nałożenie na właściwe organy wyraźnego obowiązku ustanowienia odpowiednich zewnętrznych kanałów dokonywania zgłoszeń, podejmo</w:t>
      </w:r>
      <w:r>
        <w:rPr>
          <w:color w:val="000000"/>
        </w:rPr>
        <w:t>wania z zachowaniem należytej staranności działań następczych w związku z otrzymanymi zgłoszeniami oraz przekazywania w rozsądnym terminie osobom dokonującym zgłoszenia informacji zwrotnych.</w:t>
      </w:r>
    </w:p>
    <w:p w:rsidR="00DF1EB6" w:rsidRDefault="002F1DC5">
      <w:pPr>
        <w:spacing w:before="25" w:after="0"/>
      </w:pPr>
      <w:r>
        <w:rPr>
          <w:color w:val="000000"/>
        </w:rPr>
        <w:t>(64) Wyznaczenie organów właściwych do przyjmowania informacji na</w:t>
      </w:r>
      <w:r>
        <w:rPr>
          <w:color w:val="000000"/>
        </w:rPr>
        <w:t xml:space="preserve"> temat naruszeń objętych zakresem stosowania niniejszej dyrektywy i do podejmowania odpowiednich działań następczych w związku z tymi zgłoszeniami powinno być zadaniem państw członkowskich. Takimi właściwymi organami mogą być organy sądowe, regulacyjne, lu</w:t>
      </w:r>
      <w:r>
        <w:rPr>
          <w:color w:val="000000"/>
        </w:rPr>
        <w:t>b nadzorcze mające kompetencje w odnośnych szczególnych dziedzinach lub organy o bardziej ogólnych kompetencjach na poziomie centralnym w ramach państwa członkowskiego, organy ścigania, organy antykorupcyjne lub rzecznicy praw obywatelskich.</w:t>
      </w:r>
    </w:p>
    <w:p w:rsidR="00DF1EB6" w:rsidRDefault="002F1DC5">
      <w:pPr>
        <w:spacing w:before="25" w:after="0"/>
      </w:pPr>
      <w:r>
        <w:rPr>
          <w:color w:val="000000"/>
        </w:rPr>
        <w:t>(65) Jako odbi</w:t>
      </w:r>
      <w:r>
        <w:rPr>
          <w:color w:val="000000"/>
        </w:rPr>
        <w:t>orcy zgłoszeń organy wyznaczone jako właściwe powinny posiadać niezbędne zdolności i uprawnienia do zapewnienia odpowiednich działań następczych, w tym do oceny prawdziwości zarzutów zawartych w zgłoszeniu oraz do zaradzenia naruszeniom będącym przedmiotem</w:t>
      </w:r>
      <w:r>
        <w:rPr>
          <w:color w:val="000000"/>
        </w:rPr>
        <w:t xml:space="preserve"> zgłoszenia poprzez wszczęcie dochodzenia wewnętrznego, postępowania wyjaśniającego, wniesienie oskarżenia lub podjęcie działań w celu odzyskania środków lub innych odpowiednich działań naprawczych zgodnie z przyznanymi uprawnieniami. Ewentualnie organy te</w:t>
      </w:r>
      <w:r>
        <w:rPr>
          <w:color w:val="000000"/>
        </w:rPr>
        <w:t xml:space="preserve"> powinny posiadać niezbędne uprawnienia do przekazania zgłoszenia do innego organu, który powinien zbadać naruszenie będące przedmiotem zgłoszenia, zapewniając jednocześnie podjęcie odpowiednich działań następczych przez taki organ. W szczególności, w przy</w:t>
      </w:r>
      <w:r>
        <w:rPr>
          <w:color w:val="000000"/>
        </w:rPr>
        <w:t>padku gdy państwa członkowskie pragną ustanowić zewnętrzne kanały dokonywania zgłoszeń na poziomie centralnym, na przykład w dziedzinie pomocy państwa, powinny wprowadzić odpowiednie zabezpieczenia w celu zapewnienia, by przestrzegane były wymogi niezależn</w:t>
      </w:r>
      <w:r>
        <w:rPr>
          <w:color w:val="000000"/>
        </w:rPr>
        <w:t>ości i autonomii określone w niniejszej dyrektywie. Ustanowienie takich zewnętrznych kanałów dokonywania zgłoszeń nie powinno wypływać na uprawnienia państw członkowskich lub Komisji dotyczące nadzoru w obszarze pomocy państwa, a niniejsza dyrektywa nie po</w:t>
      </w:r>
      <w:r>
        <w:rPr>
          <w:color w:val="000000"/>
        </w:rPr>
        <w:t xml:space="preserve">winna wpływać na wyłączne uprawnienia Komisji do stwierdzania </w:t>
      </w:r>
      <w:r>
        <w:rPr>
          <w:color w:val="000000"/>
        </w:rPr>
        <w:lastRenderedPageBreak/>
        <w:t xml:space="preserve">spełniania warunków dotyczących środków pomocy państwa, w szczególności w myśl </w:t>
      </w:r>
      <w:r>
        <w:rPr>
          <w:color w:val="1B1B1B"/>
        </w:rPr>
        <w:t>art. 107 ust. 3</w:t>
      </w:r>
      <w:r>
        <w:rPr>
          <w:color w:val="000000"/>
        </w:rPr>
        <w:t xml:space="preserve"> TFUE. W odniesieniu do naruszeń </w:t>
      </w:r>
      <w:r>
        <w:rPr>
          <w:color w:val="1B1B1B"/>
        </w:rPr>
        <w:t>art. 101</w:t>
      </w:r>
      <w:r>
        <w:rPr>
          <w:color w:val="000000"/>
        </w:rPr>
        <w:t xml:space="preserve"> i </w:t>
      </w:r>
      <w:r>
        <w:rPr>
          <w:color w:val="1B1B1B"/>
        </w:rPr>
        <w:t>102</w:t>
      </w:r>
      <w:r>
        <w:rPr>
          <w:color w:val="000000"/>
        </w:rPr>
        <w:t xml:space="preserve"> TFUE państwa członkowskie powinny wyznaczyć jako wła</w:t>
      </w:r>
      <w:r>
        <w:rPr>
          <w:color w:val="000000"/>
        </w:rPr>
        <w:t xml:space="preserve">ściwe organy te organy, o których mowa w </w:t>
      </w:r>
      <w:r>
        <w:rPr>
          <w:color w:val="1B1B1B"/>
        </w:rPr>
        <w:t>art. 35</w:t>
      </w:r>
      <w:r>
        <w:rPr>
          <w:color w:val="000000"/>
        </w:rPr>
        <w:t xml:space="preserve"> rozporządzenia Rady (WE) nr 1/2003 </w:t>
      </w:r>
      <w:r>
        <w:rPr>
          <w:color w:val="000000"/>
          <w:vertAlign w:val="superscript"/>
        </w:rPr>
        <w:t>35</w:t>
      </w:r>
      <w:r>
        <w:rPr>
          <w:color w:val="000000"/>
        </w:rPr>
        <w:t xml:space="preserve"> , bez uszczerbku dla uprawnień Komisji w tej dziedzinie.</w:t>
      </w:r>
    </w:p>
    <w:p w:rsidR="00DF1EB6" w:rsidRDefault="002F1DC5">
      <w:pPr>
        <w:spacing w:before="25" w:after="0"/>
      </w:pPr>
      <w:r>
        <w:rPr>
          <w:color w:val="000000"/>
        </w:rPr>
        <w:t>(66) Właściwe organy powinny również przekazywać osobie dokonującej zgłoszenia informacje zwrotne na temat plano</w:t>
      </w:r>
      <w:r>
        <w:rPr>
          <w:color w:val="000000"/>
        </w:rPr>
        <w:t xml:space="preserve">wanych lub podjętych działań następczych, na przykład przekazania sprawy do innego organy, zakończenia procedury z powodu braku wystarczających dowodów lub z innych powodów, wszczęcia postępowania wyjaśniającego oraz ewentualnie na temat dokonanych w jego </w:t>
      </w:r>
      <w:r>
        <w:rPr>
          <w:color w:val="000000"/>
        </w:rPr>
        <w:t>toku ustaleń i środków podjętych w celu zaradzenia podniesionej kwestii, a także na temat powodów dokonania wyboru takich działań następczych. Informowanie o ostatecznym wyniku postępowania wyjaśniającego nie powinno mieć wpływu na mające zastosowanie prze</w:t>
      </w:r>
      <w:r>
        <w:rPr>
          <w:color w:val="000000"/>
        </w:rPr>
        <w:t>pisy Unii, w tym przepisy przewidujące ewentualne ograniczenia w zakresie publikowania decyzji w dziedzinie przepisów dotyczących sektora finansowego. Powinno to mieć zastosowanie odpowiednio w obszarze opodatkowania osób prawnych, jeżeli w mającym zastoso</w:t>
      </w:r>
      <w:r>
        <w:rPr>
          <w:color w:val="000000"/>
        </w:rPr>
        <w:t>wanie prawie krajowym przewidziano podobne ograniczenia.</w:t>
      </w:r>
    </w:p>
    <w:p w:rsidR="00DF1EB6" w:rsidRDefault="002F1DC5">
      <w:pPr>
        <w:spacing w:before="25" w:after="0"/>
      </w:pPr>
      <w:r>
        <w:rPr>
          <w:color w:val="000000"/>
        </w:rPr>
        <w:t>(67) Podjęcie działań następczych i przekazanie informacji zwrotnych powinno nastąpić w rozsądnym terminie z uwagi na potrzebę szybkiego rozwiązania problemu, który może być przedmiotem zgłoszenia, o</w:t>
      </w:r>
      <w:r>
        <w:rPr>
          <w:color w:val="000000"/>
        </w:rPr>
        <w:t>raz potrzebę unikania niepotrzebnego ujawniania publicznego. Taki termin nie powinien przekraczać trzech miesięcy, ale może zostać w razie potrzeby przedłużony do sześciu miesięcy ze względu na szczególne okoliczności sprawy, w szczególności charakter i zł</w:t>
      </w:r>
      <w:r>
        <w:rPr>
          <w:color w:val="000000"/>
        </w:rPr>
        <w:t>ożoność przedmiotu zgłoszenia, który może wymagać długotrwałego postępowania wyjaśniającego.</w:t>
      </w:r>
    </w:p>
    <w:p w:rsidR="00DF1EB6" w:rsidRDefault="002F1DC5">
      <w:pPr>
        <w:spacing w:before="25" w:after="0"/>
      </w:pPr>
      <w:r>
        <w:rPr>
          <w:color w:val="000000"/>
        </w:rPr>
        <w:t xml:space="preserve">(68) W prawie Unii w określonych dziedzinach, takich jak nadużycia na rynku, a konkretnie w </w:t>
      </w:r>
      <w:r>
        <w:rPr>
          <w:color w:val="1B1B1B"/>
        </w:rPr>
        <w:t>rozporządzeniu</w:t>
      </w:r>
      <w:r>
        <w:rPr>
          <w:color w:val="000000"/>
        </w:rPr>
        <w:t xml:space="preserve"> (UE) nr 596/2014 i </w:t>
      </w:r>
      <w:r>
        <w:rPr>
          <w:color w:val="1B1B1B"/>
        </w:rPr>
        <w:t>dyrektywie</w:t>
      </w:r>
      <w:r>
        <w:rPr>
          <w:color w:val="000000"/>
        </w:rPr>
        <w:t xml:space="preserve"> wykonawczej (UE) 2015/2392</w:t>
      </w:r>
      <w:r>
        <w:rPr>
          <w:color w:val="000000"/>
        </w:rPr>
        <w:t xml:space="preserve">, lotnictwo cywilne, a konkretnie w </w:t>
      </w:r>
      <w:r>
        <w:rPr>
          <w:color w:val="1B1B1B"/>
        </w:rPr>
        <w:t>rozporządzeniu</w:t>
      </w:r>
      <w:r>
        <w:rPr>
          <w:color w:val="000000"/>
        </w:rPr>
        <w:t xml:space="preserve"> (UE) nr 376/2014, czy bezpieczeństwo działalności związanej ze złożami ropy naftowej i gazu ziemnego na obszarach morskich, a konkretnie w </w:t>
      </w:r>
      <w:r>
        <w:rPr>
          <w:color w:val="1B1B1B"/>
        </w:rPr>
        <w:t>dyrektywie</w:t>
      </w:r>
      <w:r>
        <w:rPr>
          <w:color w:val="000000"/>
        </w:rPr>
        <w:t xml:space="preserve"> 2013/30/UE, przewidziano już ustanowienie wewnętrznych </w:t>
      </w:r>
      <w:r>
        <w:rPr>
          <w:color w:val="000000"/>
        </w:rPr>
        <w:t>i zewnętrznych kanałów dokonywania zgłoszeń. Określone w niniejszej dyrektywie obowiązki ustanowienia takich kanałów powinny w jak największym stopniu opierać się na istniejących kanałach przewidzianych w szczególnych aktach Unii.</w:t>
      </w:r>
    </w:p>
    <w:p w:rsidR="00DF1EB6" w:rsidRDefault="002F1DC5">
      <w:pPr>
        <w:spacing w:before="25" w:after="0"/>
      </w:pPr>
      <w:r>
        <w:rPr>
          <w:color w:val="000000"/>
        </w:rPr>
        <w:t>(69) Komisja, a także nie</w:t>
      </w:r>
      <w:r>
        <w:rPr>
          <w:color w:val="000000"/>
        </w:rPr>
        <w:t>które organy i jednostki organizacyjne Unii, takie jak Europejski Urząd ds. Zwalczania Nadużyć Finansowych (OLAF), Europejska Agencja Bezpieczeństwa Morskiego (EMSA), Europejska Agencja Bezpieczeństwa Lotniczego (EASA), Europejski Urząd Nadzoru Giełd i Pap</w:t>
      </w:r>
      <w:r>
        <w:rPr>
          <w:color w:val="000000"/>
        </w:rPr>
        <w:t xml:space="preserve">ierów Wartościowych (ESMA) i Europejska Agencja Leków (EMA), dysponują zewnętrznymi kanałami i procedurami dokonywania zgłoszeń służącymi do przyjmowania zgłoszeń w sprawie naruszeń objętych zakresem stosowania niniejszej dyrektywy, zapewniającymi głównie </w:t>
      </w:r>
      <w:r>
        <w:rPr>
          <w:color w:val="000000"/>
        </w:rPr>
        <w:t>poufność tożsamości osób dokonujących zgłoszenia. Niniejsza dyrektywa powinna pozostawać bez uszczerbku dla takich zewnętrznych kanałów i procedur dokonywania zgłoszeń, o ile takie istnieją, ale powinna zapewniać osobom, które zgłaszają naruszenia instytuc</w:t>
      </w:r>
      <w:r>
        <w:rPr>
          <w:color w:val="000000"/>
        </w:rPr>
        <w:t>jom, organom lub jednostkom organizacyjnym Unii, korzystanie ze wspólnych minimalnych norm ochrony w całej Unii.</w:t>
      </w:r>
    </w:p>
    <w:p w:rsidR="00DF1EB6" w:rsidRDefault="002F1DC5">
      <w:pPr>
        <w:spacing w:before="25" w:after="0"/>
      </w:pPr>
      <w:r>
        <w:rPr>
          <w:color w:val="000000"/>
        </w:rPr>
        <w:lastRenderedPageBreak/>
        <w:t>(70) W celu zapewnienia skuteczności procedur podejmowania działań następczych w związku ze zgłoszeniami i służących zaradzeniu naruszeniom odn</w:t>
      </w:r>
      <w:r>
        <w:rPr>
          <w:color w:val="000000"/>
        </w:rPr>
        <w:t>ośnych przepisów Unii państwa członkowskie powinny mieć możliwość podejmowania środków, by zmniejszyć obciążenia właściwych organów wynikające ze zgłoszeń dotyczących mających niewielką wagę naruszeń przepisów objętych zakresem stosowania niniejszej dyrekt</w:t>
      </w:r>
      <w:r>
        <w:rPr>
          <w:color w:val="000000"/>
        </w:rPr>
        <w:t xml:space="preserve">ywy, zgłoszeń dotyczących sprawy będącej już przedmiotem wcześniejszego zgłoszenia lub zgłoszeń dotyczących naruszeń przepisów pomocniczych, na przykład przepisów dotyczących obowiązków w zakresie dokumentacji i powiadamiania. Takie środki mogą polegać na </w:t>
      </w:r>
      <w:r>
        <w:rPr>
          <w:color w:val="000000"/>
        </w:rPr>
        <w:t>umożliwieniu właściwym organom stwierdzenia, po należytej ocenie sprawy, że naruszenie będące przedmiotem zgłoszenia ma wyraźnie niewielką wagę i nie wymaga podjęcia dalszych działań następczych zgodnie z niniejszą dyrektywą, innych niż zamknięcie procedur</w:t>
      </w:r>
      <w:r>
        <w:rPr>
          <w:color w:val="000000"/>
        </w:rPr>
        <w:t>y. Państwa członkowskie powinny również mieć możliwość zezwolenia właściwym organom na zamknięcie procedury w odniesieniu do zgłoszeń dotyczących sprawy będącej już przedmiotem wcześniejszego zgłoszenia, w których nie zawarto żadnych istotnych nowych infor</w:t>
      </w:r>
      <w:r>
        <w:rPr>
          <w:color w:val="000000"/>
        </w:rPr>
        <w:t>macji w porównaniu z wcześniejszym zgłoszeniem, w przypadku którego odpowiednia procedura została zakończona, chyba że nowe okoliczności prawne lub faktyczne uzasadniają podjęcie działań następczych w innej postaci. Ponadto państwa członkowskie powinny mie</w:t>
      </w:r>
      <w:r>
        <w:rPr>
          <w:color w:val="000000"/>
        </w:rPr>
        <w:t>ć możliwość zezwolenia, by w przypadku wpływu wielu zgłoszeń właściwe organy zajmowały się w trybie priorytetowym zgłoszeniami dotyczącymi poważnych naruszeń lub naruszeń związanych z zasadniczymi przepisami objętymi zakresem stosowania niniejszej dyrektyw</w:t>
      </w:r>
      <w:r>
        <w:rPr>
          <w:color w:val="000000"/>
        </w:rPr>
        <w:t>y.</w:t>
      </w:r>
    </w:p>
    <w:p w:rsidR="00DF1EB6" w:rsidRDefault="002F1DC5">
      <w:pPr>
        <w:spacing w:before="25" w:after="0"/>
      </w:pPr>
      <w:r>
        <w:rPr>
          <w:color w:val="000000"/>
        </w:rPr>
        <w:t>(71) Jeżeli jest to przewidziane w prawie unijnym lub krajowym, właściwe organy powinny przekazywać sprawy lub istotne informacje na temat naruszeń instytucjom, organom lub jednostkom organizacyjnym Unii, w tym - do celów niniejszej dyrektywy -OLAF i Pr</w:t>
      </w:r>
      <w:r>
        <w:rPr>
          <w:color w:val="000000"/>
        </w:rPr>
        <w:t>okuraturze Europejskiej (EPPO), bez uszczerbku dla możliwości zwrócenia się bezpośrednio do takich organów lub jednostek organizacyjnych przez osobę dokonującą zgłoszenia.</w:t>
      </w:r>
    </w:p>
    <w:p w:rsidR="00DF1EB6" w:rsidRDefault="002F1DC5">
      <w:pPr>
        <w:spacing w:before="25" w:after="0"/>
      </w:pPr>
      <w:r>
        <w:rPr>
          <w:color w:val="000000"/>
        </w:rPr>
        <w:t>(72) W wielu dziedzinach polityki objętych zakresem przedmiotowym niniejszej dyrekty</w:t>
      </w:r>
      <w:r>
        <w:rPr>
          <w:color w:val="000000"/>
        </w:rPr>
        <w:t xml:space="preserve">wy istnieją mechanizmy współpracy, za pośrednictwem których właściwe organy krajowe wymieniają informacje i prowadzą działania następcze w związku z naruszeniami prawa Unii, które mają wymiar </w:t>
      </w:r>
      <w:proofErr w:type="spellStart"/>
      <w:r>
        <w:rPr>
          <w:color w:val="000000"/>
        </w:rPr>
        <w:t>transgraniczny</w:t>
      </w:r>
      <w:proofErr w:type="spellEnd"/>
      <w:r>
        <w:rPr>
          <w:color w:val="000000"/>
        </w:rPr>
        <w:t>. Przykłady takich mechanizmów obejmują system pom</w:t>
      </w:r>
      <w:r>
        <w:rPr>
          <w:color w:val="000000"/>
        </w:rPr>
        <w:t xml:space="preserve">ocy i współpracy administracyjnej ustanowiony </w:t>
      </w:r>
      <w:r>
        <w:rPr>
          <w:color w:val="1B1B1B"/>
        </w:rPr>
        <w:t>decyzją</w:t>
      </w:r>
      <w:r>
        <w:rPr>
          <w:color w:val="000000"/>
        </w:rPr>
        <w:t xml:space="preserve"> wykonawczą Komisji (UE) 2015/1918 </w:t>
      </w:r>
      <w:r>
        <w:rPr>
          <w:color w:val="000000"/>
          <w:vertAlign w:val="superscript"/>
        </w:rPr>
        <w:t>36</w:t>
      </w:r>
      <w:r>
        <w:rPr>
          <w:color w:val="000000"/>
        </w:rPr>
        <w:t xml:space="preserve">  w przypadku </w:t>
      </w:r>
      <w:proofErr w:type="spellStart"/>
      <w:r>
        <w:rPr>
          <w:color w:val="000000"/>
        </w:rPr>
        <w:t>transgranicznych</w:t>
      </w:r>
      <w:proofErr w:type="spellEnd"/>
      <w:r>
        <w:rPr>
          <w:color w:val="000000"/>
        </w:rPr>
        <w:t xml:space="preserve"> naruszeń prawodawstwa Unii dotyczącego łańcucha rolno-spożywczego oraz unijną sieć na rzecz przeciwdziałania fałszowaniu żywności na po</w:t>
      </w:r>
      <w:r>
        <w:rPr>
          <w:color w:val="000000"/>
        </w:rPr>
        <w:t xml:space="preserve">dstawie </w:t>
      </w:r>
      <w:r>
        <w:rPr>
          <w:color w:val="1B1B1B"/>
        </w:rPr>
        <w:t>rozporządzenia</w:t>
      </w:r>
      <w:r>
        <w:rPr>
          <w:color w:val="000000"/>
        </w:rPr>
        <w:t xml:space="preserve"> (WE) nr 882/2004 Parlamentu Europejskiego i Rady </w:t>
      </w:r>
      <w:r>
        <w:rPr>
          <w:color w:val="000000"/>
          <w:vertAlign w:val="superscript"/>
        </w:rPr>
        <w:t>37</w:t>
      </w:r>
      <w:r>
        <w:rPr>
          <w:color w:val="000000"/>
        </w:rPr>
        <w:t xml:space="preserve"> , system szybkiej informacji o niebezpiecznych produktach nieżywnościowych ustanowiony </w:t>
      </w:r>
      <w:r>
        <w:rPr>
          <w:color w:val="1B1B1B"/>
        </w:rPr>
        <w:t>rozporządzeniem</w:t>
      </w:r>
      <w:r>
        <w:rPr>
          <w:color w:val="000000"/>
        </w:rPr>
        <w:t xml:space="preserve"> (WE) nr 178/2002 Parlamentu Europejskiego i Rady </w:t>
      </w:r>
      <w:r>
        <w:rPr>
          <w:color w:val="000000"/>
          <w:vertAlign w:val="superscript"/>
        </w:rPr>
        <w:t>38</w:t>
      </w:r>
      <w:r>
        <w:rPr>
          <w:color w:val="000000"/>
        </w:rPr>
        <w:t xml:space="preserve"> , sieć współpracy w zakres</w:t>
      </w:r>
      <w:r>
        <w:rPr>
          <w:color w:val="000000"/>
        </w:rPr>
        <w:t xml:space="preserve">ie ochrony konsumenta ustanowioną </w:t>
      </w:r>
      <w:r>
        <w:rPr>
          <w:color w:val="1B1B1B"/>
        </w:rPr>
        <w:t>rozporządzeniem</w:t>
      </w:r>
      <w:r>
        <w:rPr>
          <w:color w:val="000000"/>
        </w:rPr>
        <w:t xml:space="preserve"> (WE) nr 2006/2004 Parlamentu Europejskiego i Rady </w:t>
      </w:r>
      <w:r>
        <w:rPr>
          <w:color w:val="000000"/>
          <w:vertAlign w:val="superscript"/>
        </w:rPr>
        <w:t>39</w:t>
      </w:r>
      <w:r>
        <w:rPr>
          <w:color w:val="000000"/>
        </w:rPr>
        <w:t xml:space="preserve"> , po Forum ds. Przestrzegania Prawa Ochrony Środowiska i Zarządzania Środowiskiem ustanowione </w:t>
      </w:r>
      <w:r>
        <w:rPr>
          <w:color w:val="1B1B1B"/>
        </w:rPr>
        <w:t>decyzją</w:t>
      </w:r>
      <w:r>
        <w:rPr>
          <w:color w:val="000000"/>
        </w:rPr>
        <w:t xml:space="preserve"> Komisji z dnia 18 stycznia 2018 r. </w:t>
      </w:r>
      <w:r>
        <w:rPr>
          <w:color w:val="000000"/>
          <w:vertAlign w:val="superscript"/>
        </w:rPr>
        <w:t>40</w:t>
      </w:r>
      <w:r>
        <w:rPr>
          <w:color w:val="000000"/>
        </w:rPr>
        <w:t xml:space="preserve"> , europejską </w:t>
      </w:r>
      <w:r>
        <w:rPr>
          <w:color w:val="000000"/>
        </w:rPr>
        <w:t xml:space="preserve">sieć konkurencji utworzoną zgodnie z rozporządzeniem (WE) nr 1/2003, a także współpracę administracyjną w dziedzinie opodatkowania na podstawie </w:t>
      </w:r>
      <w:r>
        <w:rPr>
          <w:color w:val="1B1B1B"/>
        </w:rPr>
        <w:t>dyrektywy</w:t>
      </w:r>
      <w:r>
        <w:rPr>
          <w:color w:val="000000"/>
        </w:rPr>
        <w:t xml:space="preserve"> Rady 2011/16/UE </w:t>
      </w:r>
      <w:r>
        <w:rPr>
          <w:color w:val="000000"/>
          <w:vertAlign w:val="superscript"/>
        </w:rPr>
        <w:t>41</w:t>
      </w:r>
      <w:r>
        <w:rPr>
          <w:color w:val="000000"/>
        </w:rPr>
        <w:t xml:space="preserve"> . Właściwe organy państw członkowskich powinny w </w:t>
      </w:r>
      <w:r>
        <w:rPr>
          <w:color w:val="000000"/>
        </w:rPr>
        <w:lastRenderedPageBreak/>
        <w:t>stosownych przypadkach w pełni korzystać z takich istniejących mechanizmów współpracy w ramach wypełniania obowiązku dotyczącego podejmowania działań następczych w związku ze zgłoszeniami dotyczącymi narusz</w:t>
      </w:r>
      <w:r>
        <w:rPr>
          <w:color w:val="000000"/>
        </w:rPr>
        <w:t xml:space="preserve">eń objętych zakresem stosowania niniejszej dyrektywy. Ponadto organy państw członkowskich mogą także współpracować poza istniejącymi mechanizmami współpracy w przypadkach naruszeń o wymiarze </w:t>
      </w:r>
      <w:proofErr w:type="spellStart"/>
      <w:r>
        <w:rPr>
          <w:color w:val="000000"/>
        </w:rPr>
        <w:t>transgranicznym</w:t>
      </w:r>
      <w:proofErr w:type="spellEnd"/>
      <w:r>
        <w:rPr>
          <w:color w:val="000000"/>
        </w:rPr>
        <w:t xml:space="preserve"> w dziedzinach, w których takie mechanizmy współpr</w:t>
      </w:r>
      <w:r>
        <w:rPr>
          <w:color w:val="000000"/>
        </w:rPr>
        <w:t>acy nie istnieją.</w:t>
      </w:r>
    </w:p>
    <w:p w:rsidR="00DF1EB6" w:rsidRDefault="002F1DC5">
      <w:pPr>
        <w:spacing w:before="25" w:after="0"/>
      </w:pPr>
      <w:r>
        <w:rPr>
          <w:color w:val="000000"/>
        </w:rPr>
        <w:t xml:space="preserve">(73) Aby umożliwić skuteczną komunikację z członkami personelu odpowiedzialnymi za rozpatrywanie zgłoszeń, niezbędne jest, by właściwe organy posiadały kanały, które są przyjazne użytkownikom, bezpieczne, zapewniają poufność przyjmowania </w:t>
      </w:r>
      <w:r>
        <w:rPr>
          <w:color w:val="000000"/>
        </w:rPr>
        <w:t xml:space="preserve">i przetwarzania informacji przekazywanych przez osobę dokonującą zgłoszenia na temat naruszeń oraz pozwalają na trwałe przechowywanie informacji w celu prowadzenia dalszego postępowania wyjaśniającego. Może to oznaczać konieczność oddzielenia tych kanałów </w:t>
      </w:r>
      <w:r>
        <w:rPr>
          <w:color w:val="000000"/>
        </w:rPr>
        <w:t>od kanałów ogólnych, które są wykorzystywane przez właściwe organy do komunikacji z ogółem społeczeństwa, takich jak zwykłe publiczne systemy wnoszenia skarg lub kanały, które właściwy organ wykorzystuje - w ramach zwykłej działalności - do komunikacji wew</w:t>
      </w:r>
      <w:r>
        <w:rPr>
          <w:color w:val="000000"/>
        </w:rPr>
        <w:t>nętrznej i do komunikacji z osobami trzecimi.</w:t>
      </w:r>
    </w:p>
    <w:p w:rsidR="00DF1EB6" w:rsidRDefault="002F1DC5">
      <w:pPr>
        <w:spacing w:before="25" w:after="0"/>
      </w:pPr>
      <w:r>
        <w:rPr>
          <w:color w:val="000000"/>
        </w:rPr>
        <w:t>(74) W celu rozpatrywania zgłoszeń oraz w celu zapewnienia komunikacji z osobą dokonującą zgłoszenia, a także w celu prowadzenia we właściwy sposób działań następczych w związku ze zgłoszeniem członkowie person</w:t>
      </w:r>
      <w:r>
        <w:rPr>
          <w:color w:val="000000"/>
        </w:rPr>
        <w:t>elu właściwych organów, którzy są odpowiedzialni za rozpatrywanie zgłoszeń, powinni być specjalnie przeszkoleni, między innymi w kwestii mających zastosowanie przepisów o ochronie danych.</w:t>
      </w:r>
    </w:p>
    <w:p w:rsidR="00DF1EB6" w:rsidRDefault="002F1DC5">
      <w:pPr>
        <w:spacing w:before="25" w:after="0"/>
      </w:pPr>
      <w:r>
        <w:rPr>
          <w:color w:val="000000"/>
        </w:rPr>
        <w:t>(75) Osoby, które zamierzają dokonać zgłoszenia, powinny mieć możliw</w:t>
      </w:r>
      <w:r>
        <w:rPr>
          <w:color w:val="000000"/>
        </w:rPr>
        <w:t>ość podjęcia świadomej decyzji o tym, czy, jak i kiedy dokonać zgłoszenia. Właściwe organy powinny zatem zapewniać zrozumiałe i łatwo dostępne informacje o dostępnych kanałach dokonywania zgłoszeń zapewnianych przez właściwe organy, o obowiązujących proced</w:t>
      </w:r>
      <w:r>
        <w:rPr>
          <w:color w:val="000000"/>
        </w:rPr>
        <w:t>urach i członkach personelu odpowiedzialnych za rozpatrywanie zgłoszeń w obrębie tych organów oraz powinny ułatwiać dostęp do tych informacji. Wszystkie informacje dotyczące zgłoszeń powinny być przejrzyste, zrozumiałe i wiarygodne, aby propagować zgłaszan</w:t>
      </w:r>
      <w:r>
        <w:rPr>
          <w:color w:val="000000"/>
        </w:rPr>
        <w:t>ie naruszeń, a nie zniechęcać do takich działań.</w:t>
      </w:r>
    </w:p>
    <w:p w:rsidR="00DF1EB6" w:rsidRDefault="002F1DC5">
      <w:pPr>
        <w:spacing w:before="25" w:after="0"/>
      </w:pPr>
      <w:r>
        <w:rPr>
          <w:color w:val="000000"/>
        </w:rPr>
        <w:t>(76) Państwa członkowskie powinny zapewnić, aby właściwe organy dysponowały odpowiednimi procedurami ochrony w zakresie przetwarzania zgłoszeń i ochrony danych osobowych osób, o których mowa w tych zgłoszeni</w:t>
      </w:r>
      <w:r>
        <w:rPr>
          <w:color w:val="000000"/>
        </w:rPr>
        <w:t>ach. Takie procedury powinny zapewniać ochronę tożsamości każdej osoby dokonującej zgłoszenia, osób, których dotyczy zgłoszenie, oraz osób trzecich, o których mowa w zgłoszeniu, na przykład świadków lub współpracowników, na wszystkich etapach procedury.</w:t>
      </w:r>
    </w:p>
    <w:p w:rsidR="00DF1EB6" w:rsidRDefault="002F1DC5">
      <w:pPr>
        <w:spacing w:before="25" w:after="0"/>
      </w:pPr>
      <w:r>
        <w:rPr>
          <w:color w:val="000000"/>
        </w:rPr>
        <w:t>(7</w:t>
      </w:r>
      <w:r>
        <w:rPr>
          <w:color w:val="000000"/>
        </w:rPr>
        <w:t>7) Konieczne jest, aby członkowie personelu właściwego organu, którzy są odpowiedzialni za rozpatrywanie zgłoszeń, oraz członkowie personelu właściwego organu, którzy mają prawo dostępu do informacji przekazanych przez osobę dokonująca zgłoszenia, przestrz</w:t>
      </w:r>
      <w:r>
        <w:rPr>
          <w:color w:val="000000"/>
        </w:rPr>
        <w:t xml:space="preserve">egali obowiązku zachowania tajemnicy zawodowej i poufności przy przekazywaniu danych zarówno w ramach właściwego organu, jak i poza ten organ, w tym w przypadku gdy właściwy organ wszczyna postępowanie wyjaśniające lub wewnętrzne dochodzenie lub podejmuje </w:t>
      </w:r>
      <w:r>
        <w:rPr>
          <w:color w:val="000000"/>
        </w:rPr>
        <w:t>czynności związane z egzekwowaniem przepisów w związku ze zgłoszeniem.</w:t>
      </w:r>
    </w:p>
    <w:p w:rsidR="00DF1EB6" w:rsidRDefault="002F1DC5">
      <w:pPr>
        <w:spacing w:before="25" w:after="0"/>
      </w:pPr>
      <w:r>
        <w:rPr>
          <w:color w:val="000000"/>
        </w:rPr>
        <w:lastRenderedPageBreak/>
        <w:t>(78) Regularny przegląd procedur właściwych organów i wymiana dobrych praktyk między nimi powinny zagwarantować, by procedury te były odpowiednie, a tym samym służyły swojemu celowi.</w:t>
      </w:r>
    </w:p>
    <w:p w:rsidR="00DF1EB6" w:rsidRDefault="002F1DC5">
      <w:pPr>
        <w:spacing w:before="25" w:after="0"/>
      </w:pPr>
      <w:r>
        <w:rPr>
          <w:color w:val="000000"/>
        </w:rPr>
        <w:t>(7</w:t>
      </w:r>
      <w:r>
        <w:rPr>
          <w:color w:val="000000"/>
        </w:rPr>
        <w:t>9) Osoby dokonujące ujawnienia publicznego powinny kwalifikować się do objęcia ochroną, w przypadku gdy mimo dokonania zgłoszenia wewnętrznego i zewnętrznego nadal nie zaradzono naruszeniu, na przykład w przypadku, gdy naruszenie nie zostało odpowiednio oc</w:t>
      </w:r>
      <w:r>
        <w:rPr>
          <w:color w:val="000000"/>
        </w:rPr>
        <w:t>enione lub zbadane lub nie podjęto żadnych odpowiednich działań zaradczych. To, czy działania następcze są odpowiednie, należy oceniać według obiektywnych kryteriów, w powiązaniu z obowiązkiem dokonania przez właściwe organy oceny prawdziwości zarzutów ora</w:t>
      </w:r>
      <w:r>
        <w:rPr>
          <w:color w:val="000000"/>
        </w:rPr>
        <w:t>z położenia kresu naruszeniu prawa Unii. Odpowiedniość działań następczych zależeć zatem będzie od okoliczności każdej sprawy i od charakteru przepisów, które zostały naruszone. W szczególności decyzja organów stwierdzająca, że naruszenie miało wyraźnie ni</w:t>
      </w:r>
      <w:r>
        <w:rPr>
          <w:color w:val="000000"/>
        </w:rPr>
        <w:t>ewielką wagę i nie wymagało dalszych działań następczych, innych niż zamknięcie procedury, może zgodnie z niniejszą dyrektywą stanowić odpowiednie działanie następcze.</w:t>
      </w:r>
    </w:p>
    <w:p w:rsidR="00DF1EB6" w:rsidRDefault="002F1DC5">
      <w:pPr>
        <w:spacing w:before="25" w:after="0"/>
      </w:pPr>
      <w:r>
        <w:rPr>
          <w:color w:val="000000"/>
        </w:rPr>
        <w:t>(80) Osoby dokonujące ujawnienia publicznego bezpośrednio powinny również kwalifikować s</w:t>
      </w:r>
      <w:r>
        <w:rPr>
          <w:color w:val="000000"/>
        </w:rPr>
        <w:t>ię do objęcia ochroną, w przypadku gdy mają uzasadnione podstawy, by sądzić, że istnieje bezpośrednie lub oczywiste zagrożenie dla interesu publicznego lub ryzyko wystąpienia nieodwracalnej szkody, w tym szkody dla integralności cielesnej danej osoby.</w:t>
      </w:r>
    </w:p>
    <w:p w:rsidR="00DF1EB6" w:rsidRDefault="002F1DC5">
      <w:pPr>
        <w:spacing w:before="25" w:after="0"/>
      </w:pPr>
      <w:r>
        <w:rPr>
          <w:color w:val="000000"/>
        </w:rPr>
        <w:t>(81)</w:t>
      </w:r>
      <w:r>
        <w:rPr>
          <w:color w:val="000000"/>
        </w:rPr>
        <w:t xml:space="preserve"> Osoby dokonujące ujawnienia publicznego bezpośrednio powinny również kwalifikować się do objęcia ochroną, jeżeli mają uzasadnione podstawy, by sądzić, że w przypadku dokonania zgłoszenia zewnętrznego grozić im będą działania odwetowe lub istnieje niewielk</w:t>
      </w:r>
      <w:r>
        <w:rPr>
          <w:color w:val="000000"/>
        </w:rPr>
        <w:t>ie prawdopodobieństwo skutecznego zaradzenia naruszeniu z uwagi na szczególne okoliczności sprawy, takie jak możliwość ukrycia lub zniszczenia dowodów lub możliwość istnienia zmowy między organem a sprawcą naruszenia lub udziału organu w naruszeniu.</w:t>
      </w:r>
    </w:p>
    <w:p w:rsidR="00DF1EB6" w:rsidRDefault="002F1DC5">
      <w:pPr>
        <w:spacing w:before="25" w:after="0"/>
      </w:pPr>
      <w:r>
        <w:rPr>
          <w:color w:val="000000"/>
        </w:rPr>
        <w:t>(82) O</w:t>
      </w:r>
      <w:r>
        <w:rPr>
          <w:color w:val="000000"/>
        </w:rPr>
        <w:t xml:space="preserve">chrona poufności tożsamości osoby dokonującej zgłoszenia podczas trwania procesu dokonywania zgłoszenia i w toku postępowań wyjaśniających uruchomionych na skutek danego zgłoszenia jest jednym z zasadniczych środków </w:t>
      </w:r>
      <w:r>
        <w:rPr>
          <w:i/>
          <w:color w:val="000000"/>
        </w:rPr>
        <w:t xml:space="preserve">ex </w:t>
      </w:r>
      <w:proofErr w:type="spellStart"/>
      <w:r>
        <w:rPr>
          <w:i/>
          <w:color w:val="000000"/>
        </w:rPr>
        <w:t>ante</w:t>
      </w:r>
      <w:proofErr w:type="spellEnd"/>
      <w:r>
        <w:rPr>
          <w:i/>
          <w:color w:val="000000"/>
        </w:rPr>
        <w:t xml:space="preserve"> </w:t>
      </w:r>
      <w:r>
        <w:rPr>
          <w:color w:val="000000"/>
        </w:rPr>
        <w:t>zapobiegających działaniom odwet</w:t>
      </w:r>
      <w:r>
        <w:rPr>
          <w:color w:val="000000"/>
        </w:rPr>
        <w:t>owym. Możliwość ujawnienia tożsamości osoby dokonującej zgłoszenia powinna istnieć jedynie wtedy, gdy takie ujawnienie jest koniecznym i proporcjonalnym obowiązkiem wynikającym z prawa Unii lub prawa krajowego w kontekście postępowań wyjaśniających prowadz</w:t>
      </w:r>
      <w:r>
        <w:rPr>
          <w:color w:val="000000"/>
        </w:rPr>
        <w:t xml:space="preserve">onych przez organy lub w kontekście postępowań sądowych, w szczególności w celu zagwarantowania prawa do obrony osobom, których dotyczy zgłoszenie. Taki obowiązek może wynikać w szczególności z </w:t>
      </w:r>
      <w:r>
        <w:rPr>
          <w:color w:val="1B1B1B"/>
        </w:rPr>
        <w:t>dyrektywy</w:t>
      </w:r>
      <w:r>
        <w:rPr>
          <w:color w:val="000000"/>
        </w:rPr>
        <w:t xml:space="preserve"> Parlamentu Europejskiego i Rady 2012/13/UE </w:t>
      </w:r>
      <w:r>
        <w:rPr>
          <w:color w:val="000000"/>
          <w:vertAlign w:val="superscript"/>
        </w:rPr>
        <w:t>42</w:t>
      </w:r>
      <w:r>
        <w:rPr>
          <w:color w:val="000000"/>
        </w:rPr>
        <w:t xml:space="preserve"> . Ochr</w:t>
      </w:r>
      <w:r>
        <w:rPr>
          <w:color w:val="000000"/>
        </w:rPr>
        <w:t>ona poufności nie powinna mieć zastosowania w przypadku, gdy osoba dokonująca zgłoszenia celowo ujawniła swoją tożsamość w kontekście ujawnienia publicznego.</w:t>
      </w:r>
    </w:p>
    <w:p w:rsidR="00DF1EB6" w:rsidRDefault="002F1DC5">
      <w:pPr>
        <w:spacing w:before="25" w:after="0"/>
      </w:pPr>
      <w:r>
        <w:rPr>
          <w:color w:val="000000"/>
        </w:rPr>
        <w:t>(83) Przetwarzanie danych osobowych zgodnie z niniejszą dyrektywą, w tym wymiana lub przekazywanie</w:t>
      </w:r>
      <w:r>
        <w:rPr>
          <w:color w:val="000000"/>
        </w:rPr>
        <w:t xml:space="preserve"> danych osobowych przez właściwe organy, powinno być dokonywane zgodnie z </w:t>
      </w:r>
      <w:r>
        <w:rPr>
          <w:color w:val="1B1B1B"/>
        </w:rPr>
        <w:t>rozporządzeniem</w:t>
      </w:r>
      <w:r>
        <w:rPr>
          <w:color w:val="000000"/>
        </w:rPr>
        <w:t xml:space="preserve"> Parlamentu Europejskiego i Rady (UE) 2016/679 </w:t>
      </w:r>
      <w:r>
        <w:rPr>
          <w:color w:val="000000"/>
          <w:vertAlign w:val="superscript"/>
        </w:rPr>
        <w:t>43</w:t>
      </w:r>
      <w:r>
        <w:rPr>
          <w:color w:val="000000"/>
        </w:rPr>
        <w:t xml:space="preserve">  i </w:t>
      </w:r>
      <w:r>
        <w:rPr>
          <w:color w:val="1B1B1B"/>
        </w:rPr>
        <w:t>dyrektywą</w:t>
      </w:r>
      <w:r>
        <w:rPr>
          <w:color w:val="000000"/>
        </w:rPr>
        <w:t xml:space="preserve"> Parlamentu Europejskiego i Rady (UE) 2016/680 </w:t>
      </w:r>
      <w:r>
        <w:rPr>
          <w:color w:val="000000"/>
          <w:vertAlign w:val="superscript"/>
        </w:rPr>
        <w:t>44</w:t>
      </w:r>
      <w:r>
        <w:rPr>
          <w:color w:val="000000"/>
        </w:rPr>
        <w:t xml:space="preserve"> . Wymiana lub przekazywanie informacji przez instytucje</w:t>
      </w:r>
      <w:r>
        <w:rPr>
          <w:color w:val="000000"/>
        </w:rPr>
        <w:t xml:space="preserve">, organy lub jednostki organizacyjne Unii powinno odbywać się zgodnie z </w:t>
      </w:r>
      <w:r>
        <w:rPr>
          <w:color w:val="1B1B1B"/>
        </w:rPr>
        <w:t>rozporządzeniem</w:t>
      </w:r>
      <w:r>
        <w:rPr>
          <w:color w:val="000000"/>
        </w:rPr>
        <w:t xml:space="preserve"> Parlamentu Europejskiego i Rady (UE) 2018/1725 </w:t>
      </w:r>
      <w:r>
        <w:rPr>
          <w:color w:val="000000"/>
          <w:vertAlign w:val="superscript"/>
        </w:rPr>
        <w:t>45</w:t>
      </w:r>
      <w:r>
        <w:rPr>
          <w:color w:val="000000"/>
        </w:rPr>
        <w:t xml:space="preserve"> . Szczególną uwagę należy zwrócić na zasady dotyczące przetwarzania danych osobowych określone w </w:t>
      </w:r>
      <w:r>
        <w:rPr>
          <w:color w:val="1B1B1B"/>
        </w:rPr>
        <w:t>art. 5</w:t>
      </w:r>
      <w:r>
        <w:rPr>
          <w:color w:val="000000"/>
        </w:rPr>
        <w:t xml:space="preserve"> </w:t>
      </w:r>
      <w:r>
        <w:rPr>
          <w:color w:val="000000"/>
        </w:rPr>
        <w:lastRenderedPageBreak/>
        <w:t>rozporządzenia</w:t>
      </w:r>
      <w:r>
        <w:rPr>
          <w:color w:val="000000"/>
        </w:rPr>
        <w:t xml:space="preserve"> (UE) 2016/679, </w:t>
      </w:r>
      <w:r>
        <w:rPr>
          <w:color w:val="1B1B1B"/>
        </w:rPr>
        <w:t>art. 4</w:t>
      </w:r>
      <w:r>
        <w:rPr>
          <w:color w:val="000000"/>
        </w:rPr>
        <w:t xml:space="preserve"> dyrektywy (UE) 2016/680 i </w:t>
      </w:r>
      <w:r>
        <w:rPr>
          <w:color w:val="1B1B1B"/>
        </w:rPr>
        <w:t>art. 4</w:t>
      </w:r>
      <w:r>
        <w:rPr>
          <w:color w:val="000000"/>
        </w:rPr>
        <w:t xml:space="preserve"> rozporządzenia (UE) 2018/1725 oraz zasady uwzględniania ochrony danych już w fazie projektowania i domyślnej ochrony danych określone w </w:t>
      </w:r>
      <w:r>
        <w:rPr>
          <w:color w:val="1B1B1B"/>
        </w:rPr>
        <w:t>art. 25</w:t>
      </w:r>
      <w:r>
        <w:rPr>
          <w:color w:val="000000"/>
        </w:rPr>
        <w:t xml:space="preserve"> rozporządzenia (UE) 2016/679, </w:t>
      </w:r>
      <w:r>
        <w:rPr>
          <w:color w:val="1B1B1B"/>
        </w:rPr>
        <w:t>art. 20</w:t>
      </w:r>
      <w:r>
        <w:rPr>
          <w:color w:val="000000"/>
        </w:rPr>
        <w:t xml:space="preserve"> dyrektywy (UE) 201</w:t>
      </w:r>
      <w:r>
        <w:rPr>
          <w:color w:val="000000"/>
        </w:rPr>
        <w:t xml:space="preserve">6/680 i </w:t>
      </w:r>
      <w:r>
        <w:rPr>
          <w:color w:val="1B1B1B"/>
        </w:rPr>
        <w:t>art. 27</w:t>
      </w:r>
      <w:r>
        <w:rPr>
          <w:color w:val="000000"/>
        </w:rPr>
        <w:t xml:space="preserve"> i </w:t>
      </w:r>
      <w:r>
        <w:rPr>
          <w:color w:val="1B1B1B"/>
        </w:rPr>
        <w:t>85</w:t>
      </w:r>
      <w:r>
        <w:rPr>
          <w:color w:val="000000"/>
        </w:rPr>
        <w:t xml:space="preserve"> rozporządzenia (UE) 2018/1725.</w:t>
      </w:r>
    </w:p>
    <w:p w:rsidR="00DF1EB6" w:rsidRDefault="002F1DC5">
      <w:pPr>
        <w:spacing w:before="25" w:after="0"/>
      </w:pPr>
      <w:r>
        <w:rPr>
          <w:color w:val="000000"/>
        </w:rPr>
        <w:t xml:space="preserve">(84) Procedury określone w niniejszej dyrektywie dotyczące działań następczych związanych ze zgłoszeniami naruszeń prawa Unii w dziedzinach objętych zakresem jej stosowania służą osiągnięciu ważnego celu </w:t>
      </w:r>
      <w:r>
        <w:rPr>
          <w:color w:val="000000"/>
        </w:rPr>
        <w:t xml:space="preserve">leżącego w ogólnym interesie Unii i państw członkowskich w rozumieniu </w:t>
      </w:r>
      <w:r>
        <w:rPr>
          <w:color w:val="1B1B1B"/>
        </w:rPr>
        <w:t>art. 23 ust. 1 lit. e)</w:t>
      </w:r>
      <w:r>
        <w:rPr>
          <w:color w:val="000000"/>
        </w:rPr>
        <w:t xml:space="preserve"> rozporządzenia (UE) 2016/679, gdyż ich celem jest poprawa egzekwowania prawa i polityk Unii w określonych dziedzinach, w których naruszenia mogą wyrządzić poważną </w:t>
      </w:r>
      <w:r>
        <w:rPr>
          <w:color w:val="000000"/>
        </w:rPr>
        <w:t xml:space="preserve">szkodę dla interesu publicznego. Skuteczna ochrona poufności tożsamości osób dokonujących zgłoszenia jest niezbędna, by chronić prawa i wolności innych osób, w szczególności osób dokonujących zgłoszenia, jak przewidziano w </w:t>
      </w:r>
      <w:r>
        <w:rPr>
          <w:color w:val="1B1B1B"/>
        </w:rPr>
        <w:t>art. 23 ust. 1 lit. i)</w:t>
      </w:r>
      <w:r>
        <w:rPr>
          <w:color w:val="000000"/>
        </w:rPr>
        <w:t xml:space="preserve"> rozporządz</w:t>
      </w:r>
      <w:r>
        <w:rPr>
          <w:color w:val="000000"/>
        </w:rPr>
        <w:t>enia (UE) 2016/679. Państwa członkowskie powinny zapewnić skuteczność niniejszej dyrektywy, w tym w stosownych przypadkach poprzez ograniczenie - w drodze aktów prawnych - wykonywania niektórych praw do ochrony danych osobowych osób, których dotyczy zgłosz</w:t>
      </w:r>
      <w:r>
        <w:rPr>
          <w:color w:val="000000"/>
        </w:rPr>
        <w:t xml:space="preserve">enie, zgodnie z </w:t>
      </w:r>
      <w:r>
        <w:rPr>
          <w:color w:val="1B1B1B"/>
        </w:rPr>
        <w:t>art. 23 ust. 1 lit. e)</w:t>
      </w:r>
      <w:r>
        <w:rPr>
          <w:color w:val="000000"/>
        </w:rPr>
        <w:t xml:space="preserve"> i </w:t>
      </w:r>
      <w:proofErr w:type="spellStart"/>
      <w:r>
        <w:rPr>
          <w:color w:val="1B1B1B"/>
        </w:rPr>
        <w:t>i</w:t>
      </w:r>
      <w:proofErr w:type="spellEnd"/>
      <w:r>
        <w:rPr>
          <w:color w:val="1B1B1B"/>
        </w:rPr>
        <w:t>)</w:t>
      </w:r>
      <w:r>
        <w:rPr>
          <w:color w:val="000000"/>
        </w:rPr>
        <w:t xml:space="preserve"> oraz </w:t>
      </w:r>
      <w:r>
        <w:rPr>
          <w:color w:val="1B1B1B"/>
        </w:rPr>
        <w:t>art. 23 ust. 2</w:t>
      </w:r>
      <w:r>
        <w:rPr>
          <w:color w:val="000000"/>
        </w:rPr>
        <w:t xml:space="preserve"> rozporządzenia (UE) 2016/679, w zakresie, w jakim i o ile jest to konieczne, by zapobiec i zaradzić próbom utrudniania dokonywania zgłoszeń, utrudniania, udaremniania lub spowalniania działań </w:t>
      </w:r>
      <w:r>
        <w:rPr>
          <w:color w:val="000000"/>
        </w:rPr>
        <w:t>następczych, w szczególności postępowań wyjaśniających, lub próbom ustalenia tożsamości osób dokonujących zgłoszenia.</w:t>
      </w:r>
    </w:p>
    <w:p w:rsidR="00DF1EB6" w:rsidRDefault="002F1DC5">
      <w:pPr>
        <w:spacing w:before="25" w:after="0"/>
      </w:pPr>
      <w:r>
        <w:rPr>
          <w:color w:val="000000"/>
        </w:rPr>
        <w:t>(85) Skuteczna ochrona poufności tożsamości osób dokonujących zgłoszenia jest równie konieczna w celu ochrony praw i wolności innych osób,</w:t>
      </w:r>
      <w:r>
        <w:rPr>
          <w:color w:val="000000"/>
        </w:rPr>
        <w:t xml:space="preserve"> w szczególności osób dokonujących zgłoszenia, w przypadku gdy zgłoszenia są rozpatrywane przez organy zdefiniowane w </w:t>
      </w:r>
      <w:r>
        <w:rPr>
          <w:color w:val="1B1B1B"/>
        </w:rPr>
        <w:t>art. 3 pkt 7</w:t>
      </w:r>
      <w:r>
        <w:rPr>
          <w:color w:val="000000"/>
        </w:rPr>
        <w:t xml:space="preserve"> dyrektywy (UE) 2016/680. Państwa członkowskie powinny zapewnić skuteczność niniejszej dyrektywy, w tym w stosownych przypadka</w:t>
      </w:r>
      <w:r>
        <w:rPr>
          <w:color w:val="000000"/>
        </w:rPr>
        <w:t xml:space="preserve">ch poprzez ograniczenie - w drodze aktów prawnych - wykonywania niektórych praw do ochrony danych osobowych osób, których dotyczy zgłoszenie, zgodnie z </w:t>
      </w:r>
      <w:r>
        <w:rPr>
          <w:color w:val="1B1B1B"/>
        </w:rPr>
        <w:t>art. 13 ust. 3 lit. a)</w:t>
      </w:r>
      <w:r>
        <w:rPr>
          <w:color w:val="000000"/>
        </w:rPr>
        <w:t xml:space="preserve"> i </w:t>
      </w:r>
      <w:r>
        <w:rPr>
          <w:color w:val="1B1B1B"/>
        </w:rPr>
        <w:t>e)</w:t>
      </w:r>
      <w:r>
        <w:rPr>
          <w:color w:val="000000"/>
        </w:rPr>
        <w:t xml:space="preserve">, </w:t>
      </w:r>
      <w:r>
        <w:rPr>
          <w:color w:val="1B1B1B"/>
        </w:rPr>
        <w:t>art. 15 ust. 1 lit. a)</w:t>
      </w:r>
      <w:r>
        <w:rPr>
          <w:color w:val="000000"/>
        </w:rPr>
        <w:t xml:space="preserve"> i </w:t>
      </w:r>
      <w:r>
        <w:rPr>
          <w:color w:val="1B1B1B"/>
        </w:rPr>
        <w:t>e)</w:t>
      </w:r>
      <w:r>
        <w:rPr>
          <w:color w:val="000000"/>
        </w:rPr>
        <w:t xml:space="preserve">, </w:t>
      </w:r>
      <w:r>
        <w:rPr>
          <w:color w:val="1B1B1B"/>
        </w:rPr>
        <w:t>art. 16 ust. 4 lit. a)</w:t>
      </w:r>
      <w:r>
        <w:rPr>
          <w:color w:val="000000"/>
        </w:rPr>
        <w:t xml:space="preserve"> i </w:t>
      </w:r>
      <w:r>
        <w:rPr>
          <w:color w:val="1B1B1B"/>
        </w:rPr>
        <w:t>e)</w:t>
      </w:r>
      <w:r>
        <w:rPr>
          <w:color w:val="000000"/>
        </w:rPr>
        <w:t xml:space="preserve"> oraz </w:t>
      </w:r>
      <w:r>
        <w:rPr>
          <w:color w:val="1B1B1B"/>
        </w:rPr>
        <w:t xml:space="preserve">art. 31 ust. </w:t>
      </w:r>
      <w:r>
        <w:rPr>
          <w:color w:val="1B1B1B"/>
        </w:rPr>
        <w:t>5</w:t>
      </w:r>
      <w:r>
        <w:rPr>
          <w:color w:val="000000"/>
        </w:rPr>
        <w:t xml:space="preserve"> dyrektywy (UE) 2016/680, w zakresie w jakim i o ile jest to konieczne, by zapobiec i zaradzić próbom utrudniania dokonywania zgłoszeń lub utrudniania, udaremniania lub spowalniania działań następczych, w szczególności postępowań wyjaśniających, lub próbo</w:t>
      </w:r>
      <w:r>
        <w:rPr>
          <w:color w:val="000000"/>
        </w:rPr>
        <w:t>m ustalenia tożsamości osób dokonujących zgłoszenia.</w:t>
      </w:r>
    </w:p>
    <w:p w:rsidR="00DF1EB6" w:rsidRDefault="002F1DC5">
      <w:pPr>
        <w:spacing w:before="25" w:after="0"/>
      </w:pPr>
      <w:r>
        <w:rPr>
          <w:color w:val="000000"/>
        </w:rPr>
        <w:t>(86) Państwa członkowskie powinny zapewnić odpowiednie prowadzenie rejestrów dotyczących wszystkich zgłoszeń naruszeń, możliwość wyszukania każdego zgłoszenia, a także, w stosownych przypadkach, możliwoś</w:t>
      </w:r>
      <w:r>
        <w:rPr>
          <w:color w:val="000000"/>
        </w:rPr>
        <w:t>ć wykorzystania informacji otrzymanych w drodze zgłoszeń jako dowodu w ramach działań związanych z egzekwowaniem prawa.</w:t>
      </w:r>
    </w:p>
    <w:p w:rsidR="00DF1EB6" w:rsidRDefault="002F1DC5">
      <w:pPr>
        <w:spacing w:before="25" w:after="0"/>
      </w:pPr>
      <w:r>
        <w:rPr>
          <w:color w:val="000000"/>
        </w:rPr>
        <w:t>(87) Osobom dokonującym zgłoszenia należy zapewnić ochronę przed wszelkimi formami działań odwetowych - zarówno bezpośrednich, jak i poś</w:t>
      </w:r>
      <w:r>
        <w:rPr>
          <w:color w:val="000000"/>
        </w:rPr>
        <w:t>rednich - podejmowanych lub tolerowanych przez pracodawcę, klienta lub usługobiorcę oraz osoby pracujące dla niego lub działające w jego imieniu, w tym współpracowników i kierowników w tej samej organizacji lub innych organizacjach, z którymi osoba dokonuj</w:t>
      </w:r>
      <w:r>
        <w:rPr>
          <w:color w:val="000000"/>
        </w:rPr>
        <w:t>ąca zgłoszenia kontaktuje się w kontekście związanym z pracą, lub formami działań odwetowych, do których oni zachęcają.</w:t>
      </w:r>
    </w:p>
    <w:p w:rsidR="00DF1EB6" w:rsidRDefault="002F1DC5">
      <w:pPr>
        <w:spacing w:before="25" w:after="0"/>
      </w:pPr>
      <w:r>
        <w:rPr>
          <w:color w:val="000000"/>
        </w:rPr>
        <w:t xml:space="preserve">(88) Jeżeli nie przeszkodzi się działaniom odwetowym i pozostają one bezkarne, działa to zniechęcająco na potencjalnych sygnalistów. </w:t>
      </w:r>
      <w:r>
        <w:rPr>
          <w:color w:val="000000"/>
        </w:rPr>
        <w:t xml:space="preserve">Wyraźny zakaz prawny działań odwetowych </w:t>
      </w:r>
      <w:r>
        <w:rPr>
          <w:color w:val="000000"/>
        </w:rPr>
        <w:lastRenderedPageBreak/>
        <w:t>miałby znaczny efekt odstraszający i zostałby dodatkowo wzmocniony przez przepisy dotyczące odpowiedzialności osobistej sprawców działań odwetowych i wymierzanych im sankcji.</w:t>
      </w:r>
    </w:p>
    <w:p w:rsidR="00DF1EB6" w:rsidRDefault="002F1DC5">
      <w:pPr>
        <w:spacing w:before="25" w:after="0"/>
      </w:pPr>
      <w:r>
        <w:rPr>
          <w:color w:val="000000"/>
        </w:rPr>
        <w:t>(89) Potencjalni sygnaliści, którzy nie s</w:t>
      </w:r>
      <w:r>
        <w:rPr>
          <w:color w:val="000000"/>
        </w:rPr>
        <w:t>ą pewni, w jaki sposób dokonać zgłoszenia, lub nie mają pewności, czy ostatecznie zostaną objęci ochroną, mogą zostać zniechęceni do zgłaszania naruszeń. Państwa członkowskie powinny zapewnić dostarczanie w sposób zrozumiały i łatwo dostępny dla ogółu społ</w:t>
      </w:r>
      <w:r>
        <w:rPr>
          <w:color w:val="000000"/>
        </w:rPr>
        <w:t>eczeństwa istotnych i dokładnych informacji w tym zakresie. Konieczne jest zapewnienie nieodpłatnych, bezstronnych i poufnych porad indywidualnych dotyczących przykładowo tego, czy dane informacje są objęte mającymi zastosowanie przepisami dotyczącymi ochr</w:t>
      </w:r>
      <w:r>
        <w:rPr>
          <w:color w:val="000000"/>
        </w:rPr>
        <w:t>ony sygnalistów, z którego kanału dokonywania zgłoszeń najlepiej korzystać oraz jakie alternatywne procedury są dostępne, w przypadku gdy informacje nie są objęte mającymi zastosowanie przepisami (tzw. zapewnienie "przewodnika"). Dostęp do takich porad moż</w:t>
      </w:r>
      <w:r>
        <w:rPr>
          <w:color w:val="000000"/>
        </w:rPr>
        <w:t xml:space="preserve">e pomóc w zapewnieniu, aby zgłoszenia były dokonywane w odpowiedzialny sposób, za pośrednictwem odpowiednich kanałów, a naruszenia były wykrywane na czas lub nawet udawało im się zapobiec. Takie porady i informacje mogłoby zapewniać </w:t>
      </w:r>
      <w:proofErr w:type="spellStart"/>
      <w:r>
        <w:rPr>
          <w:color w:val="000000"/>
        </w:rPr>
        <w:t>centrum</w:t>
      </w:r>
      <w:proofErr w:type="spellEnd"/>
      <w:r>
        <w:rPr>
          <w:color w:val="000000"/>
        </w:rPr>
        <w:t xml:space="preserve"> informacyjne lu</w:t>
      </w:r>
      <w:r>
        <w:rPr>
          <w:color w:val="000000"/>
        </w:rPr>
        <w:t>b jeden niezależny organ administracyjny. Państwa członkowskie mogą zdecydować o rozszerzeniu zakresu takich porad o doradztwo prawne. W przypadku gdy takich porad na rzecz osób dokonujących zgłoszenia udzielają organizacje społeczeństwa obywatelskiego zwi</w:t>
      </w:r>
      <w:r>
        <w:rPr>
          <w:color w:val="000000"/>
        </w:rPr>
        <w:t>ązane obowiązkiem zachowania poufnego charakteru otrzymanych informacji, państwa członkowskie powinny zapewnić, by takie organizacje nie doświadczały działań odwetowych, mających na przykład postać szkody gospodarczej wynikającej z ograniczenia dostępu tyc</w:t>
      </w:r>
      <w:r>
        <w:rPr>
          <w:color w:val="000000"/>
        </w:rPr>
        <w:t>h organizacji do finansowania lub z umieszczenia na czarnej liście, które mogłyby utrudniać prawidłowe funkcjonowanie organizacji.</w:t>
      </w:r>
    </w:p>
    <w:p w:rsidR="00DF1EB6" w:rsidRDefault="002F1DC5">
      <w:pPr>
        <w:spacing w:before="25" w:after="0"/>
      </w:pPr>
      <w:r>
        <w:rPr>
          <w:color w:val="000000"/>
        </w:rPr>
        <w:t>(90) Właściwe organy powinny zapewnić osobom dokonującym zgłoszenia niezbędne wsparcie w celu umożliwienia im skutecznego dos</w:t>
      </w:r>
      <w:r>
        <w:rPr>
          <w:color w:val="000000"/>
        </w:rPr>
        <w:t>tępu do ochrony. W szczególności powinny wydać dowody lub inne dokumenty niezbędne do potwierdzenia przed innymi organami lub przed sądami, że dokonanie zgłoszenia zewnętrznego miało miejsce. Zgodnie z niektórymi krajowymi regulacjami prawnymi, w niektóryc</w:t>
      </w:r>
      <w:r>
        <w:rPr>
          <w:color w:val="000000"/>
        </w:rPr>
        <w:t>h przypadkach, osoby dokonujące zgłoszenia mogą skorzystać z form zaświadczenia o spełnieniu przez nie warunków określonych w mających zastosowanie przepisach. Niezależnie od takich możliwości osoby te powinny mieć skuteczny dostęp do kontroli sądowej, w r</w:t>
      </w:r>
      <w:r>
        <w:rPr>
          <w:color w:val="000000"/>
        </w:rPr>
        <w:t>amach której to do sądu należy orzekanie, w oparciu o wszystkie indywidualne okoliczności sprawy, czy osoby te spełniają warunki określone w mających zastosowanie przepisach.</w:t>
      </w:r>
    </w:p>
    <w:p w:rsidR="00DF1EB6" w:rsidRDefault="002F1DC5">
      <w:pPr>
        <w:spacing w:before="25" w:after="0"/>
      </w:pPr>
      <w:r>
        <w:rPr>
          <w:color w:val="000000"/>
        </w:rPr>
        <w:t xml:space="preserve">(91) Należy wyłączyć możliwość powoływania się na zobowiązania prawne lub umowne </w:t>
      </w:r>
      <w:r>
        <w:rPr>
          <w:color w:val="000000"/>
        </w:rPr>
        <w:t>osób fizycznych, takie jak klauzule lojalności w umowach lub umowy o zachowanie poufności, w celu uniemożliwienia dokonania zgłoszenia, w celu odmowy ochrony lub w celu ukarania osób dokonujących zgłoszenia za zgłoszenie informacji na temat naruszeń lub pu</w:t>
      </w:r>
      <w:r>
        <w:rPr>
          <w:color w:val="000000"/>
        </w:rPr>
        <w:t>bliczne ujawnienie, w przypadku gdy dostarczenie informacji objętych zakresem takich klauzul i umów jest niezbędne do celów ujawnienia naruszenia. Jeżeli te warunki są spełnione, osoba dokonująca zgłoszenia nie powinna ponosić żadnej odpowiedzialności, czy</w:t>
      </w:r>
      <w:r>
        <w:rPr>
          <w:color w:val="000000"/>
        </w:rPr>
        <w:t xml:space="preserve"> to o charakterze cywilnym, karnym, administracyjnym, czy też odpowiedzialności związanej z zatrudnieniem. Zasadnym jest, aby istniała ochrona przed poniesieniem odpowiedzialności </w:t>
      </w:r>
      <w:r>
        <w:rPr>
          <w:color w:val="000000"/>
        </w:rPr>
        <w:lastRenderedPageBreak/>
        <w:t>za zgłoszenie lub publiczne ujawnienie na mocy niniejszej dyrektywy informac</w:t>
      </w:r>
      <w:r>
        <w:rPr>
          <w:color w:val="000000"/>
        </w:rPr>
        <w:t>ji, w przypadku których osoba dokonująca zgłoszenia miała uzasadnione podstawy, by sądzić, że ich zgłoszenie lub publiczne ujawnienie było niezbędne w celu ujawnienia naruszenia zgodnie z niniejszą dyrektywą. Taka ochrona nie powinna obejmować zbędnych inf</w:t>
      </w:r>
      <w:r>
        <w:rPr>
          <w:color w:val="000000"/>
        </w:rPr>
        <w:t>ormacji, które osoba ta ujawniła, nie mając ku temu uzasadnionych podstaw.</w:t>
      </w:r>
    </w:p>
    <w:p w:rsidR="00DF1EB6" w:rsidRDefault="002F1DC5">
      <w:pPr>
        <w:spacing w:before="25" w:after="0"/>
      </w:pPr>
      <w:r>
        <w:rPr>
          <w:color w:val="000000"/>
        </w:rPr>
        <w:t>(92) W przypadku, gdy osoby dokonujące zgłoszenia, w sposób zgodny z prawem, uzyskały będące przedmiotem zgłoszenia informacje na temat naruszeń lub dokumenty zawierające te informa</w:t>
      </w:r>
      <w:r>
        <w:rPr>
          <w:color w:val="000000"/>
        </w:rPr>
        <w:t>cje lub uzyskały dostęp do tych informacji lub do dokumentów je zawierających, osoby te powinny być zwolnione z odpowiedzialności. Powinno mieć to zastosowanie również w przypadku, gdy osoby dokonujące zgłoszenia ujawniają treść dokumentów, do których zgod</w:t>
      </w:r>
      <w:r>
        <w:rPr>
          <w:color w:val="000000"/>
        </w:rPr>
        <w:t>nie z prawem mają dostęp, a także w przypadkach, gdy kopiują takie dokumenty lub wynoszą je z pomieszczeń organizacji, w której są zatrudnione, wbrew klauzulom umownym lub innym klauzulom przewidującym, że odnośne dokumenty są własnością tej organizacji. O</w:t>
      </w:r>
      <w:r>
        <w:rPr>
          <w:color w:val="000000"/>
        </w:rPr>
        <w:t>soby dokonujące zgłoszenia powinny również być zwolnione z odpowiedzialności w przypadku, gdy uzyskanie odnośnych informacji lub dokumentów lub dostęp do nich wiąże się z odpowiedzialnością cywilną, administracyjną lub z odpowiedzialnością związaną z pracą</w:t>
      </w:r>
      <w:r>
        <w:rPr>
          <w:color w:val="000000"/>
        </w:rPr>
        <w:t>. Przykład stanowiłyby przypadki, w których osoby dokonujące zgłoszenia uzyskały informację poprzez dostęp do poczty elektronicznej współpracownika lub plików, z których zwykle nie korzystają w ramach zakresu swojej pracy, poprzez zrobienie zdjęć pomieszcz</w:t>
      </w:r>
      <w:r>
        <w:rPr>
          <w:color w:val="000000"/>
        </w:rPr>
        <w:t>eń organizacji lub poprzez dostęp do miejsc, do których nie mają zwykle dostępu. W przypadku gdy osoby dokonujące zgłoszenia uzyskały odnośne informacje lub dokumenty lub dostęp do nich w drodze przestępstwa, takiego jak fizyczne wtargnięcie lub hakowanie,</w:t>
      </w:r>
      <w:r>
        <w:rPr>
          <w:color w:val="000000"/>
        </w:rPr>
        <w:t xml:space="preserve"> ich odpowiedzialność karna powinna być nadal regulowana właściwym prawem krajowym, bez uszczerbku dla ochrony przyznanej na mocy art. 21 ust. 7 niniejszej dyrektywy. Podobnie, wszelkie inne kwestie dotyczące odpowiedzialności osób dokonujących zgłoszenia,</w:t>
      </w:r>
      <w:r>
        <w:rPr>
          <w:color w:val="000000"/>
        </w:rPr>
        <w:t xml:space="preserve"> wynikające z działań lub </w:t>
      </w:r>
      <w:proofErr w:type="spellStart"/>
      <w:r>
        <w:rPr>
          <w:color w:val="000000"/>
        </w:rPr>
        <w:t>zaniechań</w:t>
      </w:r>
      <w:proofErr w:type="spellEnd"/>
      <w:r>
        <w:rPr>
          <w:color w:val="000000"/>
        </w:rPr>
        <w:t>, które nie są związane ze zgłoszeniem lub nie są niezbędne do ujawnienia naruszenia zgodnie z niniejszą dyrektywą, powinny być nadal regulowane właściwym prawem Unii lub prawem krajowym. W tych przypadkach do sądów krajo</w:t>
      </w:r>
      <w:r>
        <w:rPr>
          <w:color w:val="000000"/>
        </w:rPr>
        <w:t>wych powinna należeć ocena odpowiedzialności osób dokonujących zgłoszenia w świetle wszelkich odpowiednich informacji faktycznych i z uwzględnieniem indywidualnych okoliczności danej sprawy, w tym konieczności i proporcjonalności danego działania lub zanie</w:t>
      </w:r>
      <w:r>
        <w:rPr>
          <w:color w:val="000000"/>
        </w:rPr>
        <w:t>chania w odniesieniu do zgłoszenia lub ujawnienia publicznego.</w:t>
      </w:r>
    </w:p>
    <w:p w:rsidR="00DF1EB6" w:rsidRDefault="002F1DC5">
      <w:pPr>
        <w:spacing w:before="25" w:after="0"/>
      </w:pPr>
      <w:r>
        <w:rPr>
          <w:color w:val="000000"/>
        </w:rPr>
        <w:t>(93) Działania odwetowe mogą być przedstawiane jako uzasadnione względami innymi niż zgłoszenie, a osobom dokonującym zgłoszenia może być bardzo trudno udowodnić związek między zgłoszeniem a dz</w:t>
      </w:r>
      <w:r>
        <w:rPr>
          <w:color w:val="000000"/>
        </w:rPr>
        <w:t>iałaniami odwetowymi, podczas gdy sprawcy działań odwetowych mogą dysponować większymi uprawnieniami i zasobami, aby udokumentować podjęte działania i ich uzasadnienie. W związku z tym, jeżeli osoba dokonująca zgłoszenia przedstawi dowód prima facie, że zg</w:t>
      </w:r>
      <w:r>
        <w:rPr>
          <w:color w:val="000000"/>
        </w:rPr>
        <w:t>łosiła naruszenia lub dokonała ujawnienia publicznego zgodnie z niniejszą dyrektywą i poniosła szkodę, ciężar dowodu powinien zostać przeniesiony na osobę, która dopuściła się szkodliwego działania, a następnie osoba ta powinna wykazać, że podjęte działani</w:t>
      </w:r>
      <w:r>
        <w:rPr>
          <w:color w:val="000000"/>
        </w:rPr>
        <w:t>e nie było w żaden sposób powiązane ze zgłoszeniem lub ujawnieniem publicznym.</w:t>
      </w:r>
    </w:p>
    <w:p w:rsidR="00DF1EB6" w:rsidRDefault="002F1DC5">
      <w:pPr>
        <w:spacing w:before="25" w:after="0"/>
      </w:pPr>
      <w:r>
        <w:rPr>
          <w:color w:val="000000"/>
        </w:rPr>
        <w:lastRenderedPageBreak/>
        <w:t xml:space="preserve">(94) Poza wyraźnym, ustanowionym w przepisach zakazem prowadzenia działań odwetowych kluczowe znaczenie ma zapewnienie osobom dokonującym zgłoszenia, które doświadczyły działań </w:t>
      </w:r>
      <w:r>
        <w:rPr>
          <w:color w:val="000000"/>
        </w:rPr>
        <w:t>odwetowych, dostępu do środków ochrony prawnej i odszkodowania. Odpowiedni środek ochrony prawnej w każdym przypadku powinien być uzależniony od rodzaju doświadczonych działań odwetowych, a szkodę poniesioną w takim przypadku należy naprawić całkowicie, zg</w:t>
      </w:r>
      <w:r>
        <w:rPr>
          <w:color w:val="000000"/>
        </w:rPr>
        <w:t>odnie z prawem krajowym. Odpowiedni środek ochrony prawnej może mieć postać działań mających na celu przywrócenie stanu poprzedniego, na przykład w sytuacji zwolnienia, przeniesienia lub degradacji, wstrzymania szkolenia lub awansu, lub przywrócenia odebra</w:t>
      </w:r>
      <w:r>
        <w:rPr>
          <w:color w:val="000000"/>
        </w:rPr>
        <w:t>nego zezwolenia, odebranej licencji lub ponownego zawarcia wypowiedzianej umowy; odszkodowania za rzeczywiste i przyszłe straty finansowe, na przykład za utracone w przeszłości zarobki, ale także za przyszłą utratę dochodów, koszty związane ze zmianą zawod</w:t>
      </w:r>
      <w:r>
        <w:rPr>
          <w:color w:val="000000"/>
        </w:rPr>
        <w:t>u; odszkodowania za inne szkody majątkowe, takie jak koszty ochrony prawnej i koszty leczenia, oraz zadośćuczynienia za szkody niemajątkowe, takie jak ból i cierpienie.</w:t>
      </w:r>
    </w:p>
    <w:p w:rsidR="00DF1EB6" w:rsidRDefault="002F1DC5">
      <w:pPr>
        <w:spacing w:before="25" w:after="0"/>
      </w:pPr>
      <w:r>
        <w:rPr>
          <w:color w:val="000000"/>
        </w:rPr>
        <w:t>(95) O ile rodzaje działań prawnych mogą się różnić w zależności od systemu prawnego, p</w:t>
      </w:r>
      <w:r>
        <w:rPr>
          <w:color w:val="000000"/>
        </w:rPr>
        <w:t xml:space="preserve">owinny one zapewnić rzeczywiste i skuteczne odszkodowanie lub zadośćuczynienie, w sposób proporcjonalny do poniesionej szkody i odstraszający. W tym kontekście istotne są zasady europejskiego filaru praw socjalnych, zwłaszcza zasada nr 7, zgodnie z którą: </w:t>
      </w:r>
      <w:r>
        <w:rPr>
          <w:color w:val="000000"/>
        </w:rPr>
        <w:t>"w przypadku zwolnienia z pracy pracownicy mają prawo do uzyskania wcześniej informacji o przyczynach takiego zwolnienia, przysługuje im rozsądny okres wypowiedzenia. Mają oni prawo do skutecznego i bezstronnego rozstrzygania sporów, a w przypadku nieuzasa</w:t>
      </w:r>
      <w:r>
        <w:rPr>
          <w:color w:val="000000"/>
        </w:rPr>
        <w:t>dnionego zwolnienia z pracy - prawo do dochodzenia roszczeń, w tym do odpowiedniego rekompensaty". Środki ochrony prawnej ustanowione na poziomie krajowym nie powinny zniechęcać potencjalnych przyszłych sygnalistów. Na przykład wprowadzenie odszkodowania j</w:t>
      </w:r>
      <w:r>
        <w:rPr>
          <w:color w:val="000000"/>
        </w:rPr>
        <w:t>ako alternatywy dla przywrócenia stanu poprzedniego w przypadku zwolnienia może prowadzić do systematycznego stosowania takiej praktyki, w szczególności przez większe organizacje, a tym samym działać odstraszająco na przyszłych sygnalistów.</w:t>
      </w:r>
    </w:p>
    <w:p w:rsidR="00DF1EB6" w:rsidRDefault="002F1DC5">
      <w:pPr>
        <w:spacing w:before="25" w:after="0"/>
      </w:pPr>
      <w:r>
        <w:rPr>
          <w:color w:val="000000"/>
        </w:rPr>
        <w:t>(96) Szczególne</w:t>
      </w:r>
      <w:r>
        <w:rPr>
          <w:color w:val="000000"/>
        </w:rPr>
        <w:t xml:space="preserve"> znaczenie dla osób dokonujących zgłoszenia ma tymczasowa ochrona prawna w trakcie toczącego się postępowania sądowego, które może być przewlekłe. W szczególności osoby dokonujące zgłoszenia powinny mieć również dostęp do tymczasowych środków ochrony prawn</w:t>
      </w:r>
      <w:r>
        <w:rPr>
          <w:color w:val="000000"/>
        </w:rPr>
        <w:t xml:space="preserve">ej przewidzianych w prawie krajowym w celu powstrzymania gróźb i prób podjęcia działań odwetowych lub podejmowania dalszych działań odwetowych, takich jak </w:t>
      </w:r>
      <w:proofErr w:type="spellStart"/>
      <w:r>
        <w:rPr>
          <w:color w:val="000000"/>
        </w:rPr>
        <w:t>mobbing</w:t>
      </w:r>
      <w:proofErr w:type="spellEnd"/>
      <w:r>
        <w:rPr>
          <w:color w:val="000000"/>
        </w:rPr>
        <w:t>, lub zapobiegania takim formom działań odwetowych, jak zwolnienie z pracy, których skutki mog</w:t>
      </w:r>
      <w:r>
        <w:rPr>
          <w:color w:val="000000"/>
        </w:rPr>
        <w:t>ą być trudne do odwrócenia po upływie długiego okresu i które mogą zrujnować finansowo daną osobę, co w efekcie może poważnie zniechęcić potencjalnych sygnalistów.</w:t>
      </w:r>
    </w:p>
    <w:p w:rsidR="00DF1EB6" w:rsidRDefault="002F1DC5">
      <w:pPr>
        <w:spacing w:before="25" w:after="0"/>
      </w:pPr>
      <w:r>
        <w:rPr>
          <w:color w:val="000000"/>
        </w:rPr>
        <w:t>(97) Działania podejmowane przeciwko osobom dokonującym zgłoszenia poza kontekstem związanym</w:t>
      </w:r>
      <w:r>
        <w:rPr>
          <w:color w:val="000000"/>
        </w:rPr>
        <w:t xml:space="preserve"> z pracą, w drodze postępowania dotyczącego na przykład zniesławienia, naruszenia praw autorskich, tajemnicy przedsiębiorstwa, poufności i ochrony danych osobowych, mogą również stanowić poważny czynnik zniechęcający do sygnalizowania nieprawidłowości. W t</w:t>
      </w:r>
      <w:r>
        <w:rPr>
          <w:color w:val="000000"/>
        </w:rPr>
        <w:t xml:space="preserve">akich postępowaniach osoby dokonujące zgłoszenia powinny mieć możliwość powołania się - w ramach środka obrony - na fakt dokonania zgłoszenia naruszeń lub ujawnienia publicznego zgodnie z niniejszą dyrektywą, pod warunkiem że informacje </w:t>
      </w:r>
      <w:r>
        <w:rPr>
          <w:color w:val="000000"/>
        </w:rPr>
        <w:lastRenderedPageBreak/>
        <w:t xml:space="preserve">będące przedmiotem </w:t>
      </w:r>
      <w:r>
        <w:rPr>
          <w:color w:val="000000"/>
        </w:rPr>
        <w:t>zgłoszenia lub ujawnienia publicznego były niezbędne do ujawnienia naruszenia. W takich przypadkach to na osobie występującej o wszczęcie postępowania powinien spoczywać ciężar udowodnienia, że osoba dokonująca zgłoszenia nie spełnia warunków ustanowionych</w:t>
      </w:r>
      <w:r>
        <w:rPr>
          <w:color w:val="000000"/>
        </w:rPr>
        <w:t xml:space="preserve"> w niniejszej dyrektywie.</w:t>
      </w:r>
    </w:p>
    <w:p w:rsidR="00DF1EB6" w:rsidRDefault="002F1DC5">
      <w:pPr>
        <w:spacing w:before="25" w:after="0"/>
      </w:pPr>
      <w:r>
        <w:rPr>
          <w:color w:val="000000"/>
        </w:rPr>
        <w:t xml:space="preserve">(98) </w:t>
      </w:r>
      <w:r>
        <w:rPr>
          <w:color w:val="1B1B1B"/>
        </w:rPr>
        <w:t>Dyrektywa</w:t>
      </w:r>
      <w:r>
        <w:rPr>
          <w:color w:val="000000"/>
        </w:rPr>
        <w:t xml:space="preserve"> Parlamentu Europejskiego i Rady (UE) 2016/943 </w:t>
      </w:r>
      <w:r>
        <w:rPr>
          <w:color w:val="000000"/>
          <w:vertAlign w:val="superscript"/>
        </w:rPr>
        <w:t>46</w:t>
      </w:r>
      <w:r>
        <w:rPr>
          <w:color w:val="000000"/>
        </w:rPr>
        <w:t xml:space="preserve">  ustanawia przepisy zapewniające wystarczający i spójny poziom naprawienia szkody na drodze cywilnej w przypadku bezprawnego pozyskiwania, wykorzystywania lub ujawnia</w:t>
      </w:r>
      <w:r>
        <w:rPr>
          <w:color w:val="000000"/>
        </w:rPr>
        <w:t>nia tajemnicy przedsiębiorstwa. Przewiduje ona jednak również, że pozyskiwanie, wykorzystywanie lub ujawnianie tajemnicy przedsiębiorstwa uznaje się za zgodne z prawem w zakresie, w jakim zezwala na nie prawo unijne. Osoby, które ujawniają tajemnice przeds</w:t>
      </w:r>
      <w:r>
        <w:rPr>
          <w:color w:val="000000"/>
        </w:rPr>
        <w:t>iębiorstwa pozyskane w kontekście związanym z pracą, powinny korzystać z ochrony gwarantowanej niniejszą dyrektywą, między innymi w zakresie nieponoszenia odpowiedzialności cywilnej, tylko wtedy, gdy spełniają warunki ustanowione w niniejszej dyrektywie, w</w:t>
      </w:r>
      <w:r>
        <w:rPr>
          <w:color w:val="000000"/>
        </w:rPr>
        <w:t xml:space="preserve"> tym warunek stanowiący, że ujawnienie było niezbędne w celu ujawnienia naruszenia objętego zakresem przedmiotowym niniejszej dyrektywy. W przypadku, gdy warunki te zostały spełnione, należy uznać, że prawo unijne zezwala na ujawnianie tajemnic przedsiębio</w:t>
      </w:r>
      <w:r>
        <w:rPr>
          <w:color w:val="000000"/>
        </w:rPr>
        <w:t xml:space="preserve">rstwa w rozumieniu </w:t>
      </w:r>
      <w:r>
        <w:rPr>
          <w:color w:val="1B1B1B"/>
        </w:rPr>
        <w:t>art. 3 ust. 2</w:t>
      </w:r>
      <w:r>
        <w:rPr>
          <w:color w:val="000000"/>
        </w:rPr>
        <w:t xml:space="preserve"> dyrektywy (UE) 2016/943. Ponadto obie dyrektywy należy uznać za uzupełniające się, a przewidziane w </w:t>
      </w:r>
      <w:r>
        <w:rPr>
          <w:color w:val="1B1B1B"/>
        </w:rPr>
        <w:t>dyrektywie</w:t>
      </w:r>
      <w:r>
        <w:rPr>
          <w:color w:val="000000"/>
        </w:rPr>
        <w:t xml:space="preserve"> (UE) 2016/943 środki ogólne, procedury i środki ochrony prawnej służące naprawieniu szkody na drodze cywilnej, a</w:t>
      </w:r>
      <w:r>
        <w:rPr>
          <w:color w:val="000000"/>
        </w:rPr>
        <w:t xml:space="preserve"> także odstępstwa powinny nadal mieć zastosowanie w odniesieniu do ujawniania tajemnic przedsiębiorstwa nieobjętego zakresem stosowania niniejszej dyrektywy. Właściwe organy, które przyjmują informacje na temat naruszeń zawierające tajemnice przedsiębiorst</w:t>
      </w:r>
      <w:r>
        <w:rPr>
          <w:color w:val="000000"/>
        </w:rPr>
        <w:t>wa powinny zapewnić, by nie były one wykorzystywane ani ujawniane do celów wykraczających poza to, co jest niezbędne do prowadzenia odpowiednich działań następczych w związku z tymi zgłoszeniami.</w:t>
      </w:r>
    </w:p>
    <w:p w:rsidR="00DF1EB6" w:rsidRDefault="002F1DC5">
      <w:pPr>
        <w:spacing w:before="25" w:after="0"/>
      </w:pPr>
      <w:r>
        <w:rPr>
          <w:color w:val="000000"/>
        </w:rPr>
        <w:t>(99) Znaczącym kosztem dla osób dokonujących zgłoszenia sprz</w:t>
      </w:r>
      <w:r>
        <w:rPr>
          <w:color w:val="000000"/>
        </w:rPr>
        <w:t xml:space="preserve">eciwiających się podjętym przeciwko nim działaniom odwetowym w drodze postępowania sądowego mogą być związane z tym koszty sądowe. Chociaż osoby takie mogłyby uzyskać zwrot tych kosztów po zakończeniu postępowania, mogą nie być w stanie ich uiścić, jeżeli </w:t>
      </w:r>
      <w:r>
        <w:rPr>
          <w:color w:val="000000"/>
        </w:rPr>
        <w:t xml:space="preserve">pobierane są na początku postępowania, zwłaszcza jeżeli są bezrobotne i figurują na czarnej liście. Pomoc w postępowaniu karnym, szczególnie gdy osoby dokonujące zgłoszenia spełniają warunki </w:t>
      </w:r>
      <w:r>
        <w:rPr>
          <w:color w:val="1B1B1B"/>
        </w:rPr>
        <w:t>dyrektywy</w:t>
      </w:r>
      <w:r>
        <w:rPr>
          <w:color w:val="000000"/>
        </w:rPr>
        <w:t xml:space="preserve"> Parlamentu Europejskiego i Rady (UE) 2016/1919 </w:t>
      </w:r>
      <w:r>
        <w:rPr>
          <w:color w:val="000000"/>
          <w:vertAlign w:val="superscript"/>
        </w:rPr>
        <w:t>47</w:t>
      </w:r>
      <w:r>
        <w:rPr>
          <w:color w:val="000000"/>
        </w:rPr>
        <w:t xml:space="preserve"> , a o</w:t>
      </w:r>
      <w:r>
        <w:rPr>
          <w:color w:val="000000"/>
        </w:rPr>
        <w:t>gólniej rzecz biorąc wsparcie na rzecz osób znajdujących się w trudnej sytuacji finansowej - może mieć w niektórych przypadkach kluczowe znaczenie dla skutecznego egzekwowania przysługującego im prawa do ochrony.</w:t>
      </w:r>
    </w:p>
    <w:p w:rsidR="00DF1EB6" w:rsidRDefault="002F1DC5">
      <w:pPr>
        <w:spacing w:before="25" w:after="0"/>
      </w:pPr>
      <w:r>
        <w:rPr>
          <w:color w:val="000000"/>
        </w:rPr>
        <w:t>(100) Prawa osoby, której dotyczy zgłoszeni</w:t>
      </w:r>
      <w:r>
        <w:rPr>
          <w:color w:val="000000"/>
        </w:rPr>
        <w:t>e, powinny być chronione w celu uniknięcia nadszarpnięcia reputacji lub innych negatywnych konsekwencji. Ponadto zgodnie z art. 47 i 48 Karty, na każdym etapie procedury prowadzonej w związku ze zgłoszeniem należy w pełni przestrzegać prawa do obrony i dos</w:t>
      </w:r>
      <w:r>
        <w:rPr>
          <w:color w:val="000000"/>
        </w:rPr>
        <w:t>tępu do środków ochrony prawnej przysługującego osobie, której dotyczy zgłoszenie. Państwa członkowskie powinny chronić poufność tożsamości osoby, której dotyczy zgłoszenie, oraz zapewnić jej prawo do obrony, w tym prawo do dostępu do akt, prawo do bycia w</w:t>
      </w:r>
      <w:r>
        <w:rPr>
          <w:color w:val="000000"/>
        </w:rPr>
        <w:t xml:space="preserve">ysłuchanym oraz prawo do skutecznego środka ochrony prawnej w odniesieniu do orzeczenia dotyczącego tej osoby zgodnie z mającymi </w:t>
      </w:r>
      <w:r>
        <w:rPr>
          <w:color w:val="000000"/>
        </w:rPr>
        <w:lastRenderedPageBreak/>
        <w:t>zastosowanie procedurami przewidzianymi w prawie krajowym w kontekście postępowań wyjaśniających lub prowadzonych następnie pos</w:t>
      </w:r>
      <w:r>
        <w:rPr>
          <w:color w:val="000000"/>
        </w:rPr>
        <w:t>tępowań sądowych.</w:t>
      </w:r>
    </w:p>
    <w:p w:rsidR="00DF1EB6" w:rsidRDefault="002F1DC5">
      <w:pPr>
        <w:spacing w:before="25" w:after="0"/>
      </w:pPr>
      <w:r>
        <w:rPr>
          <w:color w:val="000000"/>
        </w:rPr>
        <w:t>(101) Każdy, kto dozna uszczerbku - bezpośrednio lub pośrednio - w wyniku zgłoszenia lub ujawnienia publicznego niedokładnych lub wprowadzających w błąd informacji, powinien zachować przysługujące mu na mocy przepisów ogólnych prawa krajo</w:t>
      </w:r>
      <w:r>
        <w:rPr>
          <w:color w:val="000000"/>
        </w:rPr>
        <w:t>wego prawo do ochrony i środków ochrony prawnej. Jeżeli tego rodzaju niedokładne lub wprowadzające w błąd informacje uczyniono przedmiotem zgłoszenia lub ujawnienia publicznego w sposób celowy i świadomy, osoby, których dotyczy zgłoszenie, powinny być upra</w:t>
      </w:r>
      <w:r>
        <w:rPr>
          <w:color w:val="000000"/>
        </w:rPr>
        <w:t>wnione do odszkodowania zgodnie z prawem krajowym.</w:t>
      </w:r>
    </w:p>
    <w:p w:rsidR="00DF1EB6" w:rsidRDefault="002F1DC5">
      <w:pPr>
        <w:spacing w:before="25" w:after="0"/>
      </w:pPr>
      <w:r>
        <w:rPr>
          <w:color w:val="000000"/>
        </w:rPr>
        <w:t>(102) Zapewnienie skuteczności przepisów dotyczących ochrony sygnalistów wymaga wprowadzenia sankcji o charakterze karnym, cywilnym lub administracyjnym. Sankcje dla osób podejmujących działania odwetowe l</w:t>
      </w:r>
      <w:r>
        <w:rPr>
          <w:color w:val="000000"/>
        </w:rPr>
        <w:t xml:space="preserve">ub inne niepożądane działania wobec osób dokonujących zgłoszenia mogą zniechęcać do podejmowania takich działań. Sankcje dla osób, które dokonały zgłoszenia lub ujawnienia publicznego informacji na temat naruszeń, w przypadku których wykazano, że osoby te </w:t>
      </w:r>
      <w:r>
        <w:rPr>
          <w:color w:val="000000"/>
        </w:rPr>
        <w:t>wiedziały, że są one nieprawdziwe, są też konieczne do zapobieżenia zgłaszaniu w złej wierze i zachowania wiarygodności systemu. Proporcjonalność takich sankcji powinna zapewnić, aby nie odstraszały one potencjalnych sygnalistów.</w:t>
      </w:r>
    </w:p>
    <w:p w:rsidR="00DF1EB6" w:rsidRDefault="002F1DC5">
      <w:pPr>
        <w:spacing w:before="25" w:after="0"/>
      </w:pPr>
      <w:r>
        <w:rPr>
          <w:color w:val="000000"/>
        </w:rPr>
        <w:t>(103) Podjęte przez organy</w:t>
      </w:r>
      <w:r>
        <w:rPr>
          <w:color w:val="000000"/>
        </w:rPr>
        <w:t xml:space="preserve"> decyzje wywołujące negatywne skutki dla praw zagwarantowanych niniejszą dyrektywą, w szczególności decyzje, w drodze których właściwe organy postanawiają zamknąć procedurę dotyczącą zgłoszonego naruszenia ze względu na jego wyraźnie niewielką wagę lub ze </w:t>
      </w:r>
      <w:r>
        <w:rPr>
          <w:color w:val="000000"/>
        </w:rPr>
        <w:t>względu na to, iż zgłoszenie dotyczy sprawy będącej już przedmiotem wcześniejszego zgłoszenia lub postanawiają, że dane zgłoszenie nie wymaga trybu priorytetowego, podlegają kontroli sądowej zgodnie z art. 47 Karty.</w:t>
      </w:r>
    </w:p>
    <w:p w:rsidR="00DF1EB6" w:rsidRDefault="002F1DC5">
      <w:pPr>
        <w:spacing w:before="25" w:after="0"/>
      </w:pPr>
      <w:r>
        <w:rPr>
          <w:color w:val="000000"/>
        </w:rPr>
        <w:t>(104) Na mocy niniejszej dyrektywy wprow</w:t>
      </w:r>
      <w:r>
        <w:rPr>
          <w:color w:val="000000"/>
        </w:rPr>
        <w:t xml:space="preserve">adza się normy minimalne, a państwa członkowskie powinny mieć możliwość przyjmowania lub utrzymania w mocy przepisów korzystniejszych dla osoby dokonującej zgłoszenia, o ile takie przepisy pozostają bez uszczerbku dla środków ochrony osób, których dotyczy </w:t>
      </w:r>
      <w:r>
        <w:rPr>
          <w:color w:val="000000"/>
        </w:rPr>
        <w:t>zgłoszenie. Transpozycja niniejszej dyrektywy nie powinna stanowić w żadnym przypadku podstawy uzasadniającej zmniejszenie poziomu ochrony przyznanej już na mocy prawa krajowego osobom dokonującym zgłoszenia w dziedzinach, do których ma ona zastosowanie.</w:t>
      </w:r>
    </w:p>
    <w:p w:rsidR="00DF1EB6" w:rsidRDefault="002F1DC5">
      <w:pPr>
        <w:spacing w:before="25" w:after="0"/>
      </w:pPr>
      <w:r>
        <w:rPr>
          <w:color w:val="000000"/>
        </w:rPr>
        <w:t>(</w:t>
      </w:r>
      <w:r>
        <w:rPr>
          <w:color w:val="000000"/>
        </w:rPr>
        <w:t xml:space="preserve">105) Zgodnie z </w:t>
      </w:r>
      <w:r>
        <w:rPr>
          <w:color w:val="1B1B1B"/>
        </w:rPr>
        <w:t>art. 26 ust. 2</w:t>
      </w:r>
      <w:r>
        <w:rPr>
          <w:color w:val="000000"/>
        </w:rPr>
        <w:t xml:space="preserve"> TFUE konieczne jest, aby rynek wewnętrzny obejmował obszar bez granic wewnętrznych, w którym jest zapewniony swobodny przepływ towarów i usług. Rynek wewnętrzny powinien zapewniać obywatelom Unii wartość dodaną w postaci wyższ</w:t>
      </w:r>
      <w:r>
        <w:rPr>
          <w:color w:val="000000"/>
        </w:rPr>
        <w:t xml:space="preserve">ej jakości towarów i usług oraz ich większego bezpieczeństwa, zapewniając wysokie standardy w zakresie zdrowia publicznego i ochrony środowiska oraz swobodny przepływ danych osobowych. </w:t>
      </w:r>
      <w:r>
        <w:rPr>
          <w:color w:val="1B1B1B"/>
        </w:rPr>
        <w:t>Art. 114</w:t>
      </w:r>
      <w:r>
        <w:rPr>
          <w:color w:val="000000"/>
        </w:rPr>
        <w:t xml:space="preserve"> TFUE jest zatem właściwą podstawą prawną przyjęcia środków nie</w:t>
      </w:r>
      <w:r>
        <w:rPr>
          <w:color w:val="000000"/>
        </w:rPr>
        <w:t xml:space="preserve">zbędnych do ustanowienia i funkcjonowania rynku wewnętrznego. Oprócz </w:t>
      </w:r>
      <w:r>
        <w:rPr>
          <w:color w:val="1B1B1B"/>
        </w:rPr>
        <w:t>art. 114</w:t>
      </w:r>
      <w:r>
        <w:rPr>
          <w:color w:val="000000"/>
        </w:rPr>
        <w:t xml:space="preserve"> TFUE niniejsza dyrektywa powinna mieć dodatkową szczególną podstawę prawną do przyjmowania środków unijnych w celu uwzględnienia dziedzin, które opierają się na </w:t>
      </w:r>
      <w:r>
        <w:rPr>
          <w:color w:val="1B1B1B"/>
        </w:rPr>
        <w:t>art. 16</w:t>
      </w:r>
      <w:r>
        <w:rPr>
          <w:color w:val="000000"/>
        </w:rPr>
        <w:t xml:space="preserve">, </w:t>
      </w:r>
      <w:r>
        <w:rPr>
          <w:color w:val="1B1B1B"/>
        </w:rPr>
        <w:t xml:space="preserve">art. 43 </w:t>
      </w:r>
      <w:r>
        <w:rPr>
          <w:color w:val="1B1B1B"/>
        </w:rPr>
        <w:t>ust. 2</w:t>
      </w:r>
      <w:r>
        <w:rPr>
          <w:color w:val="000000"/>
        </w:rPr>
        <w:t xml:space="preserve">, </w:t>
      </w:r>
      <w:r>
        <w:rPr>
          <w:color w:val="1B1B1B"/>
        </w:rPr>
        <w:t>art. 50</w:t>
      </w:r>
      <w:r>
        <w:rPr>
          <w:color w:val="000000"/>
        </w:rPr>
        <w:t xml:space="preserve">, </w:t>
      </w:r>
      <w:r>
        <w:rPr>
          <w:color w:val="1B1B1B"/>
        </w:rPr>
        <w:t>art. 53 ust. 1</w:t>
      </w:r>
      <w:r>
        <w:rPr>
          <w:color w:val="000000"/>
        </w:rPr>
        <w:t xml:space="preserve">, </w:t>
      </w:r>
      <w:r>
        <w:rPr>
          <w:color w:val="1B1B1B"/>
        </w:rPr>
        <w:t>art. 91</w:t>
      </w:r>
      <w:r>
        <w:rPr>
          <w:color w:val="000000"/>
        </w:rPr>
        <w:t xml:space="preserve"> i </w:t>
      </w:r>
      <w:r>
        <w:rPr>
          <w:color w:val="1B1B1B"/>
        </w:rPr>
        <w:t>100</w:t>
      </w:r>
      <w:r>
        <w:rPr>
          <w:color w:val="000000"/>
        </w:rPr>
        <w:t xml:space="preserve">, </w:t>
      </w:r>
      <w:r>
        <w:rPr>
          <w:color w:val="1B1B1B"/>
        </w:rPr>
        <w:t>art. 168 ust. 4</w:t>
      </w:r>
      <w:r>
        <w:rPr>
          <w:color w:val="000000"/>
        </w:rPr>
        <w:t xml:space="preserve">, </w:t>
      </w:r>
      <w:r>
        <w:rPr>
          <w:color w:val="1B1B1B"/>
        </w:rPr>
        <w:t>art. 169</w:t>
      </w:r>
      <w:r>
        <w:rPr>
          <w:color w:val="000000"/>
        </w:rPr>
        <w:t xml:space="preserve">, </w:t>
      </w:r>
      <w:r>
        <w:rPr>
          <w:color w:val="1B1B1B"/>
        </w:rPr>
        <w:t>art. 192 ust. 1</w:t>
      </w:r>
      <w:r>
        <w:rPr>
          <w:color w:val="000000"/>
        </w:rPr>
        <w:t xml:space="preserve"> i </w:t>
      </w:r>
      <w:r>
        <w:rPr>
          <w:color w:val="1B1B1B"/>
        </w:rPr>
        <w:t>art. 325 ust. 4</w:t>
      </w:r>
      <w:r>
        <w:rPr>
          <w:color w:val="000000"/>
        </w:rPr>
        <w:t xml:space="preserve"> TFUE oraz na art. 31 traktatu Euratom.</w:t>
      </w:r>
    </w:p>
    <w:p w:rsidR="00DF1EB6" w:rsidRDefault="002F1DC5">
      <w:pPr>
        <w:spacing w:before="25" w:after="0"/>
      </w:pPr>
      <w:r>
        <w:rPr>
          <w:color w:val="000000"/>
        </w:rPr>
        <w:lastRenderedPageBreak/>
        <w:t xml:space="preserve">(106) Zakres przedmiotowy niniejszej dyrektywy opiera się na identyfikacji dziedzin, w których wprowadzenie </w:t>
      </w:r>
      <w:r>
        <w:rPr>
          <w:color w:val="000000"/>
        </w:rPr>
        <w:t>ochrony sygnalistów wydaje się uzasadnione i konieczne na podstawie obecnie dostępnych dowodów. Taki zakres przedmiotowy może zostać rozszerzony na inne dziedziny lub akty Unii, jeżeli okaże się to konieczne do poprawy ich egzekwowania w świetle dowodów, k</w:t>
      </w:r>
      <w:r>
        <w:rPr>
          <w:color w:val="000000"/>
        </w:rPr>
        <w:t>tóre mogą się pojawić w przyszłości lub na podstawie oceny sposobu funkcjonowania niniejszej dyrektywy.</w:t>
      </w:r>
    </w:p>
    <w:p w:rsidR="00DF1EB6" w:rsidRDefault="002F1DC5">
      <w:pPr>
        <w:spacing w:before="25" w:after="0"/>
      </w:pPr>
      <w:r>
        <w:rPr>
          <w:color w:val="000000"/>
        </w:rPr>
        <w:t>(107) W przypadku przyjęcia w przyszłości aktów ustawodawczych mających znaczenie dla dziedzin polityki objętych niniejszą dyrektywą należy w nich wskaz</w:t>
      </w:r>
      <w:r>
        <w:rPr>
          <w:color w:val="000000"/>
        </w:rPr>
        <w:t>ać, w stosownych przypadkach, że zastosowanie ma niniejsza dyrektywa. W razie konieczności należy, odpowiednio, dostosować zakres przedmiotowy niniejszej dyrektywy i zmienić załącznik.</w:t>
      </w:r>
    </w:p>
    <w:p w:rsidR="00DF1EB6" w:rsidRDefault="002F1DC5">
      <w:pPr>
        <w:spacing w:before="25" w:after="0"/>
      </w:pPr>
      <w:r>
        <w:rPr>
          <w:color w:val="000000"/>
        </w:rPr>
        <w:t>(108) Ponieważ cel niniejszej dyrektywy, mianowicie poprawa egzekwowani</w:t>
      </w:r>
      <w:r>
        <w:rPr>
          <w:color w:val="000000"/>
        </w:rPr>
        <w:t>a przepisów w określonych dziedzinach polityki i działaniach, w przypadku których naruszenia prawa Unii mogą wyrządzić poważną szkodę interesowi publicznemu, poprzez skuteczną ochronę sygnalistów, nie może zostać osiągnięty w sposób wystarczający przez pań</w:t>
      </w:r>
      <w:r>
        <w:rPr>
          <w:color w:val="000000"/>
        </w:rPr>
        <w:t>stwa członkowskie działające samodzielnie lub w sposób nieskoordynowany, natomiast możliwe jest lepsze jego osiągnięcie na poziomie Unii poprzez ustanowienie wspólnych minimalnych normy w zakresie ochrony sygnalistów oraz z uwagi na fakt, iż jedynie działa</w:t>
      </w:r>
      <w:r>
        <w:rPr>
          <w:color w:val="000000"/>
        </w:rPr>
        <w:t>nia Unii mogą zapewnić spójność istniejących przepisów unijnych w zakresie ochrony sygnalistów oraz zagwarantować odpowiednie dostosowanie tych przepisów, Unia może przyjąć środki zgodnie z zasadą pomocniczości określoną w art. 5 Traktatu o Unii Europejski</w:t>
      </w:r>
      <w:r>
        <w:rPr>
          <w:color w:val="000000"/>
        </w:rPr>
        <w:t>ej. Zgodnie z zasadą proporcjonalności określoną w tym artykule niniejsza dyrektywa nie wykracza poza to, co jest konieczne do osiągnięcia tego celu.</w:t>
      </w:r>
    </w:p>
    <w:p w:rsidR="00DF1EB6" w:rsidRDefault="002F1DC5">
      <w:pPr>
        <w:spacing w:before="25" w:after="0"/>
      </w:pPr>
      <w:r>
        <w:rPr>
          <w:color w:val="000000"/>
        </w:rPr>
        <w:t>(109) Niniejsza dyrektywa nie narusza praw podstawowych i zasad uznanych w szczególności w Karcie, w szcze</w:t>
      </w:r>
      <w:r>
        <w:rPr>
          <w:color w:val="000000"/>
        </w:rPr>
        <w:t>gólności w art. 11. W związku z tym kluczowe jest, aby niniejsza dyrektywa była wykonywana zgodnie z tymi prawami i zasadami poprzez zapewnienie pełnego poszanowania, między innymi, wolności wypowiedzi i informacji, prawa do ochrony danych osobowych, wolno</w:t>
      </w:r>
      <w:r>
        <w:rPr>
          <w:color w:val="000000"/>
        </w:rPr>
        <w:t>ści prowadzenia działalności gospodarczej, prawa do wysokiego poziomu ochrony konsumentów, prawa do wysokiego poziomu ochrony zdrowia ludzkiego, prawa do wysokiego poziomu ochrony środowiska, prawa do dobrej administracji, prawa do skutecznego środka ochro</w:t>
      </w:r>
      <w:r>
        <w:rPr>
          <w:color w:val="000000"/>
        </w:rPr>
        <w:t>ny prawnej i prawa do obrony.</w:t>
      </w:r>
    </w:p>
    <w:p w:rsidR="00DF1EB6" w:rsidRDefault="002F1DC5">
      <w:pPr>
        <w:spacing w:before="25" w:after="0"/>
      </w:pPr>
      <w:r>
        <w:rPr>
          <w:color w:val="000000"/>
        </w:rPr>
        <w:t xml:space="preserve">(110) Zgodnie z </w:t>
      </w:r>
      <w:r>
        <w:rPr>
          <w:color w:val="1B1B1B"/>
        </w:rPr>
        <w:t>art. 28 ust. 2</w:t>
      </w:r>
      <w:r>
        <w:rPr>
          <w:color w:val="000000"/>
        </w:rPr>
        <w:t xml:space="preserve"> rozporządzenia (WE) nr 45/2001 skonsultowano się z Europejskim Inspektorem Ochrony Danych,</w:t>
      </w:r>
    </w:p>
    <w:p w:rsidR="00DF1EB6" w:rsidRDefault="002F1DC5">
      <w:pPr>
        <w:spacing w:before="25" w:after="0"/>
      </w:pPr>
      <w:r>
        <w:rPr>
          <w:color w:val="000000"/>
        </w:rPr>
        <w:t>PRZYJMUJĄ NINIEJSZĄ DYREKTYWĘ:</w:t>
      </w:r>
    </w:p>
    <w:p w:rsidR="00DF1EB6" w:rsidRDefault="00DF1EB6">
      <w:pPr>
        <w:spacing w:after="0"/>
      </w:pPr>
    </w:p>
    <w:p w:rsidR="00DF1EB6" w:rsidRDefault="002F1DC5">
      <w:pPr>
        <w:spacing w:before="89" w:after="0"/>
        <w:jc w:val="center"/>
      </w:pPr>
      <w:r>
        <w:rPr>
          <w:b/>
          <w:color w:val="000000"/>
        </w:rPr>
        <w:t>ROZDZIAŁ  I</w:t>
      </w:r>
    </w:p>
    <w:p w:rsidR="00DF1EB6" w:rsidRDefault="002F1DC5">
      <w:pPr>
        <w:spacing w:before="25" w:after="0"/>
        <w:jc w:val="center"/>
      </w:pPr>
      <w:r>
        <w:rPr>
          <w:b/>
          <w:color w:val="000000"/>
        </w:rPr>
        <w:t>ZAKRES STOSOWANIA, DEFINICJE I WARUNKI OBJĘCIA OCHRONĄ</w:t>
      </w:r>
    </w:p>
    <w:p w:rsidR="00DF1EB6" w:rsidRDefault="00DF1EB6">
      <w:pPr>
        <w:spacing w:before="80" w:after="0"/>
      </w:pPr>
    </w:p>
    <w:p w:rsidR="00DF1EB6" w:rsidRDefault="002F1DC5">
      <w:pPr>
        <w:spacing w:after="0"/>
      </w:pPr>
      <w:r>
        <w:rPr>
          <w:b/>
          <w:color w:val="000000"/>
        </w:rPr>
        <w:t>Artykuł  1</w:t>
      </w:r>
    </w:p>
    <w:p w:rsidR="00DF1EB6" w:rsidRDefault="002F1DC5">
      <w:pPr>
        <w:spacing w:after="0"/>
      </w:pPr>
      <w:r>
        <w:rPr>
          <w:b/>
          <w:color w:val="000000"/>
        </w:rPr>
        <w:t>Cel</w:t>
      </w:r>
    </w:p>
    <w:p w:rsidR="00DF1EB6" w:rsidRDefault="002F1DC5">
      <w:pPr>
        <w:spacing w:before="25" w:after="0"/>
        <w:jc w:val="both"/>
      </w:pPr>
      <w:r>
        <w:rPr>
          <w:color w:val="000000"/>
        </w:rPr>
        <w:t>Celem niniejszej dyrektywy jest poprawa egzekwowania prawa i polityk Unii w określonych dziedzinach poprzez ustanowienie wspólnych minimalnych norm zapewniających wysoki poziom ochrony osób zgłaszających naruszenia prawa Unii.</w:t>
      </w:r>
    </w:p>
    <w:p w:rsidR="00DF1EB6" w:rsidRDefault="00DF1EB6">
      <w:pPr>
        <w:spacing w:before="80" w:after="0"/>
      </w:pPr>
    </w:p>
    <w:p w:rsidR="00DF1EB6" w:rsidRDefault="002F1DC5">
      <w:pPr>
        <w:spacing w:after="0"/>
      </w:pPr>
      <w:r>
        <w:rPr>
          <w:b/>
          <w:color w:val="000000"/>
        </w:rPr>
        <w:t>Artykuł  2</w:t>
      </w:r>
    </w:p>
    <w:p w:rsidR="00DF1EB6" w:rsidRDefault="002F1DC5">
      <w:pPr>
        <w:spacing w:after="0"/>
      </w:pPr>
      <w:r>
        <w:rPr>
          <w:b/>
          <w:color w:val="000000"/>
        </w:rPr>
        <w:t>Za</w:t>
      </w:r>
      <w:r>
        <w:rPr>
          <w:b/>
          <w:color w:val="000000"/>
        </w:rPr>
        <w:t>kres przedmiotowy</w:t>
      </w:r>
    </w:p>
    <w:p w:rsidR="00DF1EB6" w:rsidRDefault="002F1DC5">
      <w:pPr>
        <w:spacing w:before="26" w:after="0"/>
      </w:pPr>
      <w:r>
        <w:rPr>
          <w:color w:val="000000"/>
        </w:rPr>
        <w:t>1. Niniejsza dyrektywa ustanawia wspólne minimalne normy ochrony osób zgłaszających następujące naruszenia prawa Unii:</w:t>
      </w:r>
    </w:p>
    <w:p w:rsidR="00DF1EB6" w:rsidRDefault="002F1DC5">
      <w:pPr>
        <w:spacing w:after="0"/>
        <w:ind w:left="373"/>
      </w:pPr>
      <w:r>
        <w:rPr>
          <w:color w:val="000000"/>
        </w:rPr>
        <w:t>a) naruszenia objęte zakresem stosowania aktów Unii określonych w załączniku, dotyczące następujących dziedzin:</w:t>
      </w:r>
    </w:p>
    <w:p w:rsidR="00DF1EB6" w:rsidRDefault="002F1DC5">
      <w:pPr>
        <w:spacing w:before="26" w:after="0"/>
        <w:ind w:left="746"/>
      </w:pPr>
      <w:r>
        <w:rPr>
          <w:color w:val="000000"/>
        </w:rPr>
        <w:t>(i) zam</w:t>
      </w:r>
      <w:r>
        <w:rPr>
          <w:color w:val="000000"/>
        </w:rPr>
        <w:t>ówienia publiczne;</w:t>
      </w:r>
    </w:p>
    <w:p w:rsidR="00DF1EB6" w:rsidRDefault="002F1DC5">
      <w:pPr>
        <w:spacing w:before="26" w:after="0"/>
        <w:ind w:left="746"/>
      </w:pPr>
      <w:r>
        <w:rPr>
          <w:color w:val="000000"/>
        </w:rPr>
        <w:t>(ii) usługi, produkty i rynki finansowe oraz zapobieganie praniu pieniędzy i finansowaniu terroryzmu;</w:t>
      </w:r>
    </w:p>
    <w:p w:rsidR="00DF1EB6" w:rsidRDefault="002F1DC5">
      <w:pPr>
        <w:spacing w:before="26" w:after="0"/>
        <w:ind w:left="746"/>
      </w:pPr>
      <w:r>
        <w:rPr>
          <w:color w:val="000000"/>
        </w:rPr>
        <w:t>(iii) bezpieczeństwo produktów i ich zgodność z wymogami;</w:t>
      </w:r>
    </w:p>
    <w:p w:rsidR="00DF1EB6" w:rsidRDefault="002F1DC5">
      <w:pPr>
        <w:spacing w:before="26" w:after="0"/>
        <w:ind w:left="746"/>
      </w:pPr>
      <w:r>
        <w:rPr>
          <w:color w:val="000000"/>
        </w:rPr>
        <w:t>(iv) bezpieczeństwo transportu;</w:t>
      </w:r>
    </w:p>
    <w:p w:rsidR="00DF1EB6" w:rsidRDefault="002F1DC5">
      <w:pPr>
        <w:spacing w:before="26" w:after="0"/>
        <w:ind w:left="746"/>
      </w:pPr>
      <w:r>
        <w:rPr>
          <w:color w:val="000000"/>
        </w:rPr>
        <w:t>(v) ochrona środowiska;</w:t>
      </w:r>
    </w:p>
    <w:p w:rsidR="00DF1EB6" w:rsidRDefault="002F1DC5">
      <w:pPr>
        <w:spacing w:before="26" w:after="0"/>
        <w:ind w:left="746"/>
      </w:pPr>
      <w:r>
        <w:rPr>
          <w:color w:val="000000"/>
        </w:rPr>
        <w:t>(vi) ochrona radiolog</w:t>
      </w:r>
      <w:r>
        <w:rPr>
          <w:color w:val="000000"/>
        </w:rPr>
        <w:t>iczna i bezpieczeństwo jądrowe;</w:t>
      </w:r>
    </w:p>
    <w:p w:rsidR="00DF1EB6" w:rsidRDefault="002F1DC5">
      <w:pPr>
        <w:spacing w:before="26" w:after="0"/>
        <w:ind w:left="746"/>
      </w:pPr>
      <w:r>
        <w:rPr>
          <w:color w:val="000000"/>
        </w:rPr>
        <w:t>(vii) bezpieczeństwo żywności i pasz, zdrowie i dobrostan zwierząt;</w:t>
      </w:r>
    </w:p>
    <w:p w:rsidR="00DF1EB6" w:rsidRDefault="002F1DC5">
      <w:pPr>
        <w:spacing w:before="26" w:after="0"/>
        <w:ind w:left="746"/>
      </w:pPr>
      <w:r>
        <w:rPr>
          <w:color w:val="000000"/>
        </w:rPr>
        <w:t>(viii) zdrowie publiczne;</w:t>
      </w:r>
    </w:p>
    <w:p w:rsidR="00DF1EB6" w:rsidRDefault="002F1DC5">
      <w:pPr>
        <w:spacing w:before="26" w:after="0"/>
        <w:ind w:left="746"/>
      </w:pPr>
      <w:r>
        <w:rPr>
          <w:color w:val="000000"/>
        </w:rPr>
        <w:t>(ix) ochrona konsumentów;</w:t>
      </w:r>
    </w:p>
    <w:p w:rsidR="00DF1EB6" w:rsidRDefault="002F1DC5">
      <w:pPr>
        <w:spacing w:before="26" w:after="0"/>
        <w:ind w:left="746"/>
      </w:pPr>
      <w:r>
        <w:rPr>
          <w:color w:val="000000"/>
        </w:rPr>
        <w:t>(x) ochrona prywatności i danych osobowych oraz bezpieczeństwo sieci i systemów informacyjnych;</w:t>
      </w:r>
    </w:p>
    <w:p w:rsidR="00DF1EB6" w:rsidRDefault="002F1DC5">
      <w:pPr>
        <w:spacing w:after="0"/>
        <w:ind w:left="373"/>
      </w:pPr>
      <w:r>
        <w:rPr>
          <w:color w:val="000000"/>
        </w:rPr>
        <w:t>b) narus</w:t>
      </w:r>
      <w:r>
        <w:rPr>
          <w:color w:val="000000"/>
        </w:rPr>
        <w:t xml:space="preserve">zenia mające wpływ na interesy finansowe Unii, o których mowa w </w:t>
      </w:r>
      <w:r>
        <w:rPr>
          <w:color w:val="1B1B1B"/>
        </w:rPr>
        <w:t>art. 325</w:t>
      </w:r>
      <w:r>
        <w:rPr>
          <w:color w:val="000000"/>
        </w:rPr>
        <w:t xml:space="preserve"> TFUE i określone szczegółowo w stosownych środkach unijnych;</w:t>
      </w:r>
    </w:p>
    <w:p w:rsidR="00DF1EB6" w:rsidRDefault="002F1DC5">
      <w:pPr>
        <w:spacing w:after="0"/>
        <w:ind w:left="373"/>
      </w:pPr>
      <w:r>
        <w:rPr>
          <w:color w:val="000000"/>
        </w:rPr>
        <w:t xml:space="preserve">c) naruszenia dotyczące rynku wewnętrznego, o którym mowa w </w:t>
      </w:r>
      <w:r>
        <w:rPr>
          <w:color w:val="1B1B1B"/>
        </w:rPr>
        <w:t>art. 26 ust. 2</w:t>
      </w:r>
      <w:r>
        <w:rPr>
          <w:color w:val="000000"/>
        </w:rPr>
        <w:t xml:space="preserve"> TFUE, w tym naruszenia unijnych zasad konkurenc</w:t>
      </w:r>
      <w:r>
        <w:rPr>
          <w:color w:val="000000"/>
        </w:rPr>
        <w:t>ji i pomocy państwa, jak również naruszenia dotyczące rynku wewnętrznego w odniesieniu do działań, które stanowią naruszenie przepisów o podatku od osób prawnych lub do praktyk mających na celu uzyskanie korzyści podatkowej sprzecznej z przedmiotem lub cel</w:t>
      </w:r>
      <w:r>
        <w:rPr>
          <w:color w:val="000000"/>
        </w:rPr>
        <w:t>em mających zastosowanie przepisów o podatku od osób prawnych.</w:t>
      </w:r>
    </w:p>
    <w:p w:rsidR="00DF1EB6" w:rsidRDefault="002F1DC5">
      <w:pPr>
        <w:spacing w:before="26" w:after="0"/>
      </w:pPr>
      <w:r>
        <w:rPr>
          <w:color w:val="000000"/>
        </w:rPr>
        <w:t>2. Niniejsza dyrektywa pozostaje bez uszczerbku dla uprawnienia państw członkowskich do rozszerzenia zakresu ochrony na mocy prawa krajowego w odniesieniu do dziedzin lub aktów nieobjętych ust.</w:t>
      </w:r>
      <w:r>
        <w:rPr>
          <w:color w:val="000000"/>
        </w:rPr>
        <w:t xml:space="preserve"> 1.</w:t>
      </w:r>
    </w:p>
    <w:p w:rsidR="00DF1EB6" w:rsidRDefault="00DF1EB6">
      <w:pPr>
        <w:spacing w:before="80" w:after="0"/>
      </w:pPr>
    </w:p>
    <w:p w:rsidR="00DF1EB6" w:rsidRDefault="002F1DC5">
      <w:pPr>
        <w:spacing w:after="0"/>
      </w:pPr>
      <w:r>
        <w:rPr>
          <w:b/>
          <w:color w:val="000000"/>
        </w:rPr>
        <w:t>Artykuł  3</w:t>
      </w:r>
    </w:p>
    <w:p w:rsidR="00DF1EB6" w:rsidRDefault="002F1DC5">
      <w:pPr>
        <w:spacing w:after="0"/>
      </w:pPr>
      <w:r>
        <w:rPr>
          <w:b/>
          <w:color w:val="000000"/>
        </w:rPr>
        <w:t>Związek z innymi aktami Unii i przepisami krajowymi</w:t>
      </w:r>
    </w:p>
    <w:p w:rsidR="00DF1EB6" w:rsidRDefault="002F1DC5">
      <w:pPr>
        <w:spacing w:before="26" w:after="0"/>
      </w:pPr>
      <w:r>
        <w:rPr>
          <w:color w:val="000000"/>
        </w:rPr>
        <w:t xml:space="preserve">1. Jeżeli w sektorowych aktach Unii wymienionych w części II załącznika ustanowiono przepisy szczególne dotyczące zgłaszania naruszeń, stosuje się te przepisy. Przepisy niniejszej </w:t>
      </w:r>
      <w:r>
        <w:rPr>
          <w:color w:val="000000"/>
        </w:rPr>
        <w:t>dyrektywy stosuje się w zakresie, w jakim dana kwestia nie jest uregulowana w tych sektorowych aktach Unii w sposób wiążący.</w:t>
      </w:r>
    </w:p>
    <w:p w:rsidR="00DF1EB6" w:rsidRDefault="002F1DC5">
      <w:pPr>
        <w:spacing w:before="26" w:after="0"/>
      </w:pPr>
      <w:r>
        <w:rPr>
          <w:color w:val="000000"/>
        </w:rPr>
        <w:t>2. Niniejsza dyrektywa nie wpływa na odpowiedzialność państw członkowskich za zapewnienie bezpieczeństwa narodowego, ani na uprawni</w:t>
      </w:r>
      <w:r>
        <w:rPr>
          <w:color w:val="000000"/>
        </w:rPr>
        <w:t xml:space="preserve">enia państw członkowskich do ochrony swych podstawowych interesów bezpieczeństwa. W szczególności nie stosuje się jej do zgłoszeń w sprawie naruszeń przepisów dotyczących zamówień publicznych dotyczących aspektów obronności lub bezpieczeństwa, chyba że są </w:t>
      </w:r>
      <w:r>
        <w:rPr>
          <w:color w:val="000000"/>
        </w:rPr>
        <w:t>one objęte odpowiednimi aktami Unii.</w:t>
      </w:r>
    </w:p>
    <w:p w:rsidR="00DF1EB6" w:rsidRDefault="002F1DC5">
      <w:pPr>
        <w:spacing w:before="26" w:after="0"/>
      </w:pPr>
      <w:r>
        <w:rPr>
          <w:color w:val="000000"/>
        </w:rPr>
        <w:lastRenderedPageBreak/>
        <w:t>3. Niniejsza dyrektywa nie wpływa na stosowanie prawa Unii ani prawa krajowego w odniesieniu do:</w:t>
      </w:r>
    </w:p>
    <w:p w:rsidR="00DF1EB6" w:rsidRDefault="002F1DC5">
      <w:pPr>
        <w:spacing w:after="0"/>
        <w:ind w:left="373"/>
      </w:pPr>
      <w:r>
        <w:rPr>
          <w:color w:val="000000"/>
        </w:rPr>
        <w:t>a) ochrony informacji niejawnych;</w:t>
      </w:r>
    </w:p>
    <w:p w:rsidR="00DF1EB6" w:rsidRDefault="002F1DC5">
      <w:pPr>
        <w:spacing w:after="0"/>
        <w:ind w:left="373"/>
      </w:pPr>
      <w:r>
        <w:rPr>
          <w:color w:val="000000"/>
        </w:rPr>
        <w:t>b) ochrony prawniczej tajemnicy zawodowej i tajemnicy medycznej;</w:t>
      </w:r>
    </w:p>
    <w:p w:rsidR="00DF1EB6" w:rsidRDefault="002F1DC5">
      <w:pPr>
        <w:spacing w:after="0"/>
        <w:ind w:left="373"/>
      </w:pPr>
      <w:r>
        <w:rPr>
          <w:color w:val="000000"/>
        </w:rPr>
        <w:t xml:space="preserve">c) tajemnicy narady </w:t>
      </w:r>
      <w:r>
        <w:rPr>
          <w:color w:val="000000"/>
        </w:rPr>
        <w:t>sędziowskiej; lub</w:t>
      </w:r>
    </w:p>
    <w:p w:rsidR="00DF1EB6" w:rsidRDefault="002F1DC5">
      <w:pPr>
        <w:spacing w:after="0"/>
        <w:ind w:left="373"/>
      </w:pPr>
      <w:r>
        <w:rPr>
          <w:color w:val="000000"/>
        </w:rPr>
        <w:t>d) przepisów dotyczących postępowania karnego.</w:t>
      </w:r>
    </w:p>
    <w:p w:rsidR="00DF1EB6" w:rsidRDefault="002F1DC5">
      <w:pPr>
        <w:spacing w:before="26" w:after="0"/>
      </w:pPr>
      <w:r>
        <w:rPr>
          <w:color w:val="000000"/>
        </w:rPr>
        <w:t>4. Niniejsza dyrektywa nie wpływa na przepisy krajowe dotyczące wykonywania przez pracowników ich prawa do konsultacji z ich przedstawicielami lub związkami zawodowymi, przepisy krajowe dotyc</w:t>
      </w:r>
      <w:r>
        <w:rPr>
          <w:color w:val="000000"/>
        </w:rPr>
        <w:t xml:space="preserve">zące ochrony przed nieuzasadnionym szkodliwym działaniem w wyniku takich konsultacji ani na przepisy krajowe dotyczące autonomii partnerów społecznych i ich prawa do zawierania układów zbiorowych. Pozostaje to bez uszczerbku dla poziomu ochrony przyznanej </w:t>
      </w:r>
      <w:r>
        <w:rPr>
          <w:color w:val="000000"/>
        </w:rPr>
        <w:t>na mocy niniejszej dyrektywy.</w:t>
      </w:r>
    </w:p>
    <w:p w:rsidR="00DF1EB6" w:rsidRDefault="00DF1EB6">
      <w:pPr>
        <w:spacing w:before="80" w:after="0"/>
      </w:pPr>
    </w:p>
    <w:p w:rsidR="00DF1EB6" w:rsidRDefault="002F1DC5">
      <w:pPr>
        <w:spacing w:after="0"/>
      </w:pPr>
      <w:r>
        <w:rPr>
          <w:b/>
          <w:color w:val="000000"/>
        </w:rPr>
        <w:t>Artykuł  4</w:t>
      </w:r>
    </w:p>
    <w:p w:rsidR="00DF1EB6" w:rsidRDefault="002F1DC5">
      <w:pPr>
        <w:spacing w:after="0"/>
      </w:pPr>
      <w:r>
        <w:rPr>
          <w:b/>
          <w:color w:val="000000"/>
        </w:rPr>
        <w:t>Zakres podmiotowy</w:t>
      </w:r>
    </w:p>
    <w:p w:rsidR="00DF1EB6" w:rsidRDefault="002F1DC5">
      <w:pPr>
        <w:spacing w:before="26" w:after="0"/>
      </w:pPr>
      <w:r>
        <w:rPr>
          <w:color w:val="000000"/>
        </w:rPr>
        <w:t>1. Niniejszą dyrektywę stosuje się do osób dokonujących zgłoszenia, pracujących w sektorze prywatnym lub publicznym, które uzyskały informacje na temat naruszeń w kontekście związanym z pracą, w t</w:t>
      </w:r>
      <w:r>
        <w:rPr>
          <w:color w:val="000000"/>
        </w:rPr>
        <w:t>ym co najmniej do:</w:t>
      </w:r>
    </w:p>
    <w:p w:rsidR="00DF1EB6" w:rsidRDefault="002F1DC5">
      <w:pPr>
        <w:spacing w:after="0"/>
        <w:ind w:left="373"/>
      </w:pPr>
      <w:r>
        <w:rPr>
          <w:color w:val="000000"/>
        </w:rPr>
        <w:t xml:space="preserve">a) osób posiadających status pracownika w rozumieniu </w:t>
      </w:r>
      <w:r>
        <w:rPr>
          <w:color w:val="1B1B1B"/>
        </w:rPr>
        <w:t>art. 45 ust. 1</w:t>
      </w:r>
      <w:r>
        <w:rPr>
          <w:color w:val="000000"/>
        </w:rPr>
        <w:t xml:space="preserve"> TFUE, w tym urzędników służby cywilnej;</w:t>
      </w:r>
    </w:p>
    <w:p w:rsidR="00DF1EB6" w:rsidRDefault="002F1DC5">
      <w:pPr>
        <w:spacing w:after="0"/>
        <w:ind w:left="373"/>
      </w:pPr>
      <w:r>
        <w:rPr>
          <w:color w:val="000000"/>
        </w:rPr>
        <w:t xml:space="preserve">b) osób posiadających status osób prowadzących działalność na własny rachunek w rozumieniu </w:t>
      </w:r>
      <w:r>
        <w:rPr>
          <w:color w:val="1B1B1B"/>
        </w:rPr>
        <w:t>art. 49</w:t>
      </w:r>
      <w:r>
        <w:rPr>
          <w:color w:val="000000"/>
        </w:rPr>
        <w:t xml:space="preserve"> TFUE;</w:t>
      </w:r>
    </w:p>
    <w:p w:rsidR="00DF1EB6" w:rsidRDefault="002F1DC5">
      <w:pPr>
        <w:spacing w:after="0"/>
        <w:ind w:left="373"/>
      </w:pPr>
      <w:r>
        <w:rPr>
          <w:color w:val="000000"/>
        </w:rPr>
        <w:t>c) akcjonariuszy lub wsp</w:t>
      </w:r>
      <w:r>
        <w:rPr>
          <w:color w:val="000000"/>
        </w:rPr>
        <w:t xml:space="preserve">ólników oraz osób będących członkami organu administrującego, zarządzającego lub nadzorczego przedsiębiorstwa, w tym członków </w:t>
      </w:r>
      <w:proofErr w:type="spellStart"/>
      <w:r>
        <w:rPr>
          <w:color w:val="000000"/>
        </w:rPr>
        <w:t>niewykonawczych</w:t>
      </w:r>
      <w:proofErr w:type="spellEnd"/>
      <w:r>
        <w:rPr>
          <w:color w:val="000000"/>
        </w:rPr>
        <w:t>, a także wolontariuszy i stażystów, bez względu na to czy otrzymują oni wynagrodzenie;</w:t>
      </w:r>
    </w:p>
    <w:p w:rsidR="00DF1EB6" w:rsidRDefault="002F1DC5">
      <w:pPr>
        <w:spacing w:after="0"/>
        <w:ind w:left="373"/>
      </w:pPr>
      <w:r>
        <w:rPr>
          <w:color w:val="000000"/>
        </w:rPr>
        <w:t>d) osób pracujących pod nad</w:t>
      </w:r>
      <w:r>
        <w:rPr>
          <w:color w:val="000000"/>
        </w:rPr>
        <w:t>zorem i kierownictwem wykonawców, podwykonawców i dostawców.</w:t>
      </w:r>
    </w:p>
    <w:p w:rsidR="00DF1EB6" w:rsidRDefault="002F1DC5">
      <w:pPr>
        <w:spacing w:before="26" w:after="0"/>
      </w:pPr>
      <w:r>
        <w:rPr>
          <w:color w:val="000000"/>
        </w:rPr>
        <w:t>2. Niniejszą dyrektywę stosuje się również do osób dokonujących zgłoszenia w przypadku, gdy dokonują one zgłoszenia lub ujawnienia publicznego informacji na temat naruszeń, jakie uzyskały w ramac</w:t>
      </w:r>
      <w:r>
        <w:rPr>
          <w:color w:val="000000"/>
        </w:rPr>
        <w:t>h stosunku pracy, który już ustał.</w:t>
      </w:r>
    </w:p>
    <w:p w:rsidR="00DF1EB6" w:rsidRDefault="002F1DC5">
      <w:pPr>
        <w:spacing w:before="26" w:after="0"/>
      </w:pPr>
      <w:r>
        <w:rPr>
          <w:color w:val="000000"/>
        </w:rPr>
        <w:t>3. Niniejszą dyrektywę stosuje się również do osób dokonujących zgłoszenia, których stosunek pracy ma zostać dopiero nawiązany, w przypadku gdy informacje na temat naruszeń uzyskano w trakcie procesu rekrutacji lub innych</w:t>
      </w:r>
      <w:r>
        <w:rPr>
          <w:color w:val="000000"/>
        </w:rPr>
        <w:t xml:space="preserve"> negocjacji poprzedzających zawarcie umowy.</w:t>
      </w:r>
    </w:p>
    <w:p w:rsidR="00DF1EB6" w:rsidRDefault="002F1DC5">
      <w:pPr>
        <w:spacing w:before="26" w:after="0"/>
      </w:pPr>
      <w:r>
        <w:rPr>
          <w:color w:val="000000"/>
        </w:rPr>
        <w:t>4. W stosownych przypadkach środki ochrony osób dokonujących zgłoszenia określone w rozdziale VI stosuje się również do:</w:t>
      </w:r>
    </w:p>
    <w:p w:rsidR="00DF1EB6" w:rsidRDefault="002F1DC5">
      <w:pPr>
        <w:spacing w:after="0"/>
        <w:ind w:left="373"/>
      </w:pPr>
      <w:r>
        <w:rPr>
          <w:color w:val="000000"/>
        </w:rPr>
        <w:t>a) osób pomagających w dokonaniu zgłoszenia,</w:t>
      </w:r>
    </w:p>
    <w:p w:rsidR="00DF1EB6" w:rsidRDefault="002F1DC5">
      <w:pPr>
        <w:spacing w:after="0"/>
        <w:ind w:left="373"/>
      </w:pPr>
      <w:r>
        <w:rPr>
          <w:color w:val="000000"/>
        </w:rPr>
        <w:t>b) osób trzecich powiązanych z osobami dokonuj</w:t>
      </w:r>
      <w:r>
        <w:rPr>
          <w:color w:val="000000"/>
        </w:rPr>
        <w:t>ącymi zgłoszenia, które mogą doświadczyć działań odwetowych w kontekście związanym z pracą, takich jak współpracownicy lub krewni osób dokonujących zgłoszenia; oraz</w:t>
      </w:r>
    </w:p>
    <w:p w:rsidR="00DF1EB6" w:rsidRDefault="002F1DC5">
      <w:pPr>
        <w:spacing w:after="0"/>
        <w:ind w:left="373"/>
      </w:pPr>
      <w:r>
        <w:rPr>
          <w:color w:val="000000"/>
        </w:rPr>
        <w:lastRenderedPageBreak/>
        <w:t>c) podmiotów prawnych, które stanowią własność osoby dokonującej zgłoszenia, dla których ta</w:t>
      </w:r>
      <w:r>
        <w:rPr>
          <w:color w:val="000000"/>
        </w:rPr>
        <w:t>ka osoba pracuje lub które są w inny sposób z nią powiązane w kontekście związanym z pracą.</w:t>
      </w:r>
    </w:p>
    <w:p w:rsidR="00DF1EB6" w:rsidRDefault="00DF1EB6">
      <w:pPr>
        <w:spacing w:before="80" w:after="0"/>
      </w:pPr>
    </w:p>
    <w:p w:rsidR="00DF1EB6" w:rsidRDefault="002F1DC5">
      <w:pPr>
        <w:spacing w:after="0"/>
      </w:pPr>
      <w:r>
        <w:rPr>
          <w:b/>
          <w:color w:val="000000"/>
        </w:rPr>
        <w:t>Artykuł  5</w:t>
      </w:r>
    </w:p>
    <w:p w:rsidR="00DF1EB6" w:rsidRDefault="002F1DC5">
      <w:pPr>
        <w:spacing w:after="0"/>
      </w:pPr>
      <w:r>
        <w:rPr>
          <w:b/>
          <w:color w:val="000000"/>
        </w:rPr>
        <w:t>Definicje</w:t>
      </w:r>
    </w:p>
    <w:p w:rsidR="00DF1EB6" w:rsidRDefault="002F1DC5">
      <w:pPr>
        <w:spacing w:before="25" w:after="0"/>
        <w:jc w:val="both"/>
      </w:pPr>
      <w:r>
        <w:rPr>
          <w:color w:val="000000"/>
        </w:rPr>
        <w:t>Do celów niniejszej dyrektywy stosuje się następujące definicje:</w:t>
      </w:r>
    </w:p>
    <w:p w:rsidR="00DF1EB6" w:rsidRDefault="002F1DC5">
      <w:pPr>
        <w:spacing w:before="26" w:after="0"/>
        <w:ind w:left="373"/>
      </w:pPr>
      <w:r>
        <w:rPr>
          <w:color w:val="000000"/>
        </w:rPr>
        <w:t>1) "naruszenia" oznaczają działania lub zaniechania, które:</w:t>
      </w:r>
    </w:p>
    <w:p w:rsidR="00DF1EB6" w:rsidRDefault="002F1DC5">
      <w:pPr>
        <w:spacing w:before="26" w:after="0"/>
        <w:ind w:left="746"/>
      </w:pPr>
      <w:r>
        <w:rPr>
          <w:color w:val="000000"/>
        </w:rPr>
        <w:t xml:space="preserve">(i) są niezgodne </w:t>
      </w:r>
      <w:r>
        <w:rPr>
          <w:color w:val="000000"/>
        </w:rPr>
        <w:t>z prawem i dotyczą aktów Unii i dziedzin objętych zakresem przedmiotowym, o którym mowa w art. 2; lub</w:t>
      </w:r>
    </w:p>
    <w:p w:rsidR="00DF1EB6" w:rsidRDefault="002F1DC5">
      <w:pPr>
        <w:spacing w:before="26" w:after="0"/>
        <w:ind w:left="746"/>
      </w:pPr>
      <w:r>
        <w:rPr>
          <w:color w:val="000000"/>
        </w:rPr>
        <w:t>(ii) są sprzeczne z przedmiotem lub celem przepisów zawartych w aktach Unii i dziedzinach objętych zakresem przedmiotowym, o którym mowa w art. 2;</w:t>
      </w:r>
    </w:p>
    <w:p w:rsidR="00DF1EB6" w:rsidRDefault="002F1DC5">
      <w:pPr>
        <w:spacing w:before="26" w:after="0"/>
        <w:ind w:left="373"/>
      </w:pPr>
      <w:r>
        <w:rPr>
          <w:color w:val="000000"/>
        </w:rPr>
        <w:t>2) "inf</w:t>
      </w:r>
      <w:r>
        <w:rPr>
          <w:color w:val="000000"/>
        </w:rPr>
        <w:t>ormacje na temat naruszeń" oznaczają informacje, w tym uzasadnione podejrzenie, dotyczące zaistniałych lub potencjalnych naruszeń, do których doszło lub prawdopodobnie dojdzie w organizacji, w której osoba zgłaszająca pracuje lub pracowała, lub w innej org</w:t>
      </w:r>
      <w:r>
        <w:rPr>
          <w:color w:val="000000"/>
        </w:rPr>
        <w:t>anizacji, z którą osoba dokonująca zgłoszenia utrzymuje lub utrzymywała kontakt w kontekście wykonywanej pracy, lub dotyczące prób ukrycia takich naruszeń;</w:t>
      </w:r>
    </w:p>
    <w:p w:rsidR="00DF1EB6" w:rsidRDefault="002F1DC5">
      <w:pPr>
        <w:spacing w:before="26" w:after="0"/>
        <w:ind w:left="373"/>
      </w:pPr>
      <w:r>
        <w:rPr>
          <w:color w:val="000000"/>
        </w:rPr>
        <w:t>3) "zgłoszenie" lub "zgłaszać" oznacza ustne lub pisemne przekazanie informacji na temat naruszeń;</w:t>
      </w:r>
    </w:p>
    <w:p w:rsidR="00DF1EB6" w:rsidRDefault="002F1DC5">
      <w:pPr>
        <w:spacing w:before="26" w:after="0"/>
        <w:ind w:left="373"/>
      </w:pPr>
      <w:r>
        <w:rPr>
          <w:color w:val="000000"/>
        </w:rPr>
        <w:t>4</w:t>
      </w:r>
      <w:r>
        <w:rPr>
          <w:color w:val="000000"/>
        </w:rPr>
        <w:t>) "zgłoszenie wewnętrzne" oznacza ustne lub pisemne przekazanie informacji na temat naruszeń w obrębie podmiotu prywatnego w sektorze prywatnym lub publicznym;</w:t>
      </w:r>
    </w:p>
    <w:p w:rsidR="00DF1EB6" w:rsidRDefault="002F1DC5">
      <w:pPr>
        <w:spacing w:before="26" w:after="0"/>
        <w:ind w:left="373"/>
      </w:pPr>
      <w:r>
        <w:rPr>
          <w:color w:val="000000"/>
        </w:rPr>
        <w:t>5) "zgłoszenie zewnętrzne" oznacza ustne lub pisemne przekazanie informacji na temat naruszeń wł</w:t>
      </w:r>
      <w:r>
        <w:rPr>
          <w:color w:val="000000"/>
        </w:rPr>
        <w:t>aściwym organom;</w:t>
      </w:r>
    </w:p>
    <w:p w:rsidR="00DF1EB6" w:rsidRDefault="002F1DC5">
      <w:pPr>
        <w:spacing w:before="26" w:after="0"/>
        <w:ind w:left="373"/>
      </w:pPr>
      <w:r>
        <w:rPr>
          <w:color w:val="000000"/>
        </w:rPr>
        <w:t>6) "ujawnienie publiczne" lub "ujawniać publicznie" oznacza podanie do wiadomości publicznej informacji na temat naruszeń;</w:t>
      </w:r>
    </w:p>
    <w:p w:rsidR="00DF1EB6" w:rsidRDefault="002F1DC5">
      <w:pPr>
        <w:spacing w:before="26" w:after="0"/>
        <w:ind w:left="373"/>
      </w:pPr>
      <w:r>
        <w:rPr>
          <w:color w:val="000000"/>
        </w:rPr>
        <w:t>7) "osoba dokonująca zgłoszenia" oznacza osobę fizyczną, która zgłasza lub ujawnia publicznie informacje na temat na</w:t>
      </w:r>
      <w:r>
        <w:rPr>
          <w:color w:val="000000"/>
        </w:rPr>
        <w:t>ruszeń uzyskane w kontekście związanym z wykonywaną przez nią pracą;</w:t>
      </w:r>
    </w:p>
    <w:p w:rsidR="00DF1EB6" w:rsidRDefault="002F1DC5">
      <w:pPr>
        <w:spacing w:before="26" w:after="0"/>
        <w:ind w:left="373"/>
      </w:pPr>
      <w:r>
        <w:rPr>
          <w:color w:val="000000"/>
        </w:rPr>
        <w:t>8) "osoba pomagająca w dokonaniu zgłoszenia" oznacza osobę fizyczną, która pomaga osobie dokonującej zgłoszenia w tej czynności w kontekście związanym z pracą i której pomoc nie powinna z</w:t>
      </w:r>
      <w:r>
        <w:rPr>
          <w:color w:val="000000"/>
        </w:rPr>
        <w:t>ostać ujawniona;</w:t>
      </w:r>
    </w:p>
    <w:p w:rsidR="00DF1EB6" w:rsidRDefault="002F1DC5">
      <w:pPr>
        <w:spacing w:before="26" w:after="0"/>
        <w:ind w:left="373"/>
      </w:pPr>
      <w:r>
        <w:rPr>
          <w:color w:val="000000"/>
        </w:rPr>
        <w:t>9) "kontekst związany z pracą" oznacza obecne lub przyszłe działania związane z pracą w sektorze publicznym lub prywatnym, w ramach których - niezależnie od charakteru tych działań - osoby uzyskują informacje na temat naruszeń i mogłyby do</w:t>
      </w:r>
      <w:r>
        <w:rPr>
          <w:color w:val="000000"/>
        </w:rPr>
        <w:t>świadczyć działań odwetowych w przypadku zgłoszenia takich informacji;</w:t>
      </w:r>
    </w:p>
    <w:p w:rsidR="00DF1EB6" w:rsidRDefault="002F1DC5">
      <w:pPr>
        <w:spacing w:before="26" w:after="0"/>
        <w:ind w:left="373"/>
      </w:pPr>
      <w:r>
        <w:rPr>
          <w:color w:val="000000"/>
        </w:rPr>
        <w:t>10) "osoba, której dotyczy zgłoszenie" oznacza osobę fizyczną lub prawną, która jest wskazana w zgłoszeniu lub ujawnieniu publicznym jako osoba, która dopuściła się naruszenia lub z któ</w:t>
      </w:r>
      <w:r>
        <w:rPr>
          <w:color w:val="000000"/>
        </w:rPr>
        <w:t>rą osoba ta jest powiązana;</w:t>
      </w:r>
    </w:p>
    <w:p w:rsidR="00DF1EB6" w:rsidRDefault="002F1DC5">
      <w:pPr>
        <w:spacing w:before="26" w:after="0"/>
        <w:ind w:left="373"/>
      </w:pPr>
      <w:r>
        <w:rPr>
          <w:color w:val="000000"/>
        </w:rPr>
        <w:t xml:space="preserve">11) "działania odwetowe" oznaczają bezpośrednie lub pośrednie działanie lub zaniechanie mające miejsce w kontekście związanym z pracą, które jest spowodowane </w:t>
      </w:r>
      <w:r>
        <w:rPr>
          <w:color w:val="000000"/>
        </w:rPr>
        <w:lastRenderedPageBreak/>
        <w:t>zgłoszeniem wewnętrznym lub zewnętrznym lub ujawnieniem publicznym i k</w:t>
      </w:r>
      <w:r>
        <w:rPr>
          <w:color w:val="000000"/>
        </w:rPr>
        <w:t>tóre wyrządza lub może wyrządzić nieuzasadnioną szkodę dla osoby dokonującej zgłoszenia;</w:t>
      </w:r>
    </w:p>
    <w:p w:rsidR="00DF1EB6" w:rsidRDefault="002F1DC5">
      <w:pPr>
        <w:spacing w:before="26" w:after="0"/>
        <w:ind w:left="373"/>
      </w:pPr>
      <w:r>
        <w:rPr>
          <w:color w:val="000000"/>
        </w:rPr>
        <w:t>12) "działania następcze" oznaczają działania podjęte przez odbiorcę zgłoszenia lub właściwy organ w celu oceny prawdziwości zarzutów zawartych w zgłoszeniu oraz, w st</w:t>
      </w:r>
      <w:r>
        <w:rPr>
          <w:color w:val="000000"/>
        </w:rPr>
        <w:t xml:space="preserve">osownych przypadkach, w celu zaradzenia naruszeniu będącemu przedmiotem zgłoszenia, w tym poprzez takie działania, jak dochodzenie wewnętrzne, postępowanie wyjaśniające, wniesienie oskarżenia, działania podejmowane w celu odzyskania środków lub zamknięcie </w:t>
      </w:r>
      <w:r>
        <w:rPr>
          <w:color w:val="000000"/>
        </w:rPr>
        <w:t>procedury;</w:t>
      </w:r>
    </w:p>
    <w:p w:rsidR="00DF1EB6" w:rsidRDefault="002F1DC5">
      <w:pPr>
        <w:spacing w:before="26" w:after="0"/>
        <w:ind w:left="373"/>
      </w:pPr>
      <w:r>
        <w:rPr>
          <w:color w:val="000000"/>
        </w:rPr>
        <w:t>13) "informacje zwrotne" oznaczają przekazanie osobie dokonującej zgłoszenia informacji na temat planowanych lub podjętych działań następczych i na temat powodów tych działań następczych;</w:t>
      </w:r>
    </w:p>
    <w:p w:rsidR="00DF1EB6" w:rsidRDefault="002F1DC5">
      <w:pPr>
        <w:spacing w:before="26" w:after="0"/>
        <w:ind w:left="373"/>
      </w:pPr>
      <w:r>
        <w:rPr>
          <w:color w:val="000000"/>
        </w:rPr>
        <w:t xml:space="preserve">14) "właściwy organ" oznacza organ krajowy wyznaczony do </w:t>
      </w:r>
      <w:r>
        <w:rPr>
          <w:color w:val="000000"/>
        </w:rPr>
        <w:t>przyjmowania zgłoszeń zgodnie z rozdziałem III i przekazywania informacji zwrotnych osobie dokonującej zgłoszenia lub wyznaczony do wykonywania obowiązków przewidzianych w niniejszej dyrektywie, w szczególności w odniesieniu do działań następczych.</w:t>
      </w:r>
    </w:p>
    <w:p w:rsidR="00DF1EB6" w:rsidRDefault="00DF1EB6">
      <w:pPr>
        <w:spacing w:before="80" w:after="0"/>
      </w:pPr>
    </w:p>
    <w:p w:rsidR="00DF1EB6" w:rsidRDefault="002F1DC5">
      <w:pPr>
        <w:spacing w:after="0"/>
      </w:pPr>
      <w:r>
        <w:rPr>
          <w:b/>
          <w:color w:val="000000"/>
        </w:rPr>
        <w:t>Artyku</w:t>
      </w:r>
      <w:r>
        <w:rPr>
          <w:b/>
          <w:color w:val="000000"/>
        </w:rPr>
        <w:t>ł  6</w:t>
      </w:r>
    </w:p>
    <w:p w:rsidR="00DF1EB6" w:rsidRDefault="002F1DC5">
      <w:pPr>
        <w:spacing w:after="0"/>
      </w:pPr>
      <w:r>
        <w:rPr>
          <w:b/>
          <w:color w:val="000000"/>
        </w:rPr>
        <w:t>Warunki objęcia ochroną osób dokonujących zgłoszenia</w:t>
      </w:r>
    </w:p>
    <w:p w:rsidR="00DF1EB6" w:rsidRDefault="002F1DC5">
      <w:pPr>
        <w:spacing w:before="26" w:after="0"/>
      </w:pPr>
      <w:r>
        <w:rPr>
          <w:color w:val="000000"/>
        </w:rPr>
        <w:t>1. Osoby dokonujące zgłoszenia kwalifikują się do objęcia ochroną na mocy niniejszej dyrektywy, pod warunkiem że:</w:t>
      </w:r>
    </w:p>
    <w:p w:rsidR="00DF1EB6" w:rsidRDefault="002F1DC5">
      <w:pPr>
        <w:spacing w:after="0"/>
        <w:ind w:left="373"/>
      </w:pPr>
      <w:r>
        <w:rPr>
          <w:color w:val="000000"/>
        </w:rPr>
        <w:t xml:space="preserve">a) miały uzasadnione podstawy, by sądzić, że będące przedmiotem zgłoszenia </w:t>
      </w:r>
      <w:r>
        <w:rPr>
          <w:color w:val="000000"/>
        </w:rPr>
        <w:t>informacje na temat naruszeń są prawdziwe w momencie dokonywania zgłoszenia i że informacje takie są objęte zakresem stosowania niniejszej dyrektywy; oraz</w:t>
      </w:r>
    </w:p>
    <w:p w:rsidR="00DF1EB6" w:rsidRDefault="002F1DC5">
      <w:pPr>
        <w:spacing w:after="0"/>
        <w:ind w:left="373"/>
      </w:pPr>
      <w:r>
        <w:rPr>
          <w:color w:val="000000"/>
        </w:rPr>
        <w:t>b) dokonały zgłoszenia wewnętrznego zgodnie z art. 7 albo zgłoszenia zewnętrznego zgodnie z art. 10 l</w:t>
      </w:r>
      <w:r>
        <w:rPr>
          <w:color w:val="000000"/>
        </w:rPr>
        <w:t>ub dokonały ujawnienia publicznego zgodnie z art. 15.</w:t>
      </w:r>
    </w:p>
    <w:p w:rsidR="00DF1EB6" w:rsidRDefault="002F1DC5">
      <w:pPr>
        <w:spacing w:before="26" w:after="0"/>
      </w:pPr>
      <w:r>
        <w:rPr>
          <w:color w:val="000000"/>
        </w:rPr>
        <w:t xml:space="preserve">2. Bez uszczerbku dla istniejących na mocy prawa Unii obowiązków w zakresie anonimowego zgłaszania, niniejsza dyrektywa nie wpływa na uprawnienia państw członkowskich do decydowania o tym, czy podmioty </w:t>
      </w:r>
      <w:r>
        <w:rPr>
          <w:color w:val="000000"/>
        </w:rPr>
        <w:t>prawne w sektorze prywatnym lub publicznym oraz właściwe organy są zobowiązane do przyjmowania anonimowych zgłoszeń na temat naruszeń i podejmowania w związku z nimi działań następczych.</w:t>
      </w:r>
    </w:p>
    <w:p w:rsidR="00DF1EB6" w:rsidRDefault="002F1DC5">
      <w:pPr>
        <w:spacing w:before="26" w:after="0"/>
      </w:pPr>
      <w:r>
        <w:rPr>
          <w:color w:val="000000"/>
        </w:rPr>
        <w:t>3. Osoby, które dokonały anonimowego zgłoszenia informacji na temat n</w:t>
      </w:r>
      <w:r>
        <w:rPr>
          <w:color w:val="000000"/>
        </w:rPr>
        <w:t>aruszeń lub anonimowo ujawniły publicznie takie informacje, a następnie zostały zidentyfikowane i doświadczyły działań odwetowych, kwalifikują się mimo to do objęcia ochroną przewidzianą w rozdziale VI, pod warunkiem że spełniają warunki określone w ust. 1</w:t>
      </w:r>
      <w:r>
        <w:rPr>
          <w:color w:val="000000"/>
        </w:rPr>
        <w:t>.</w:t>
      </w:r>
    </w:p>
    <w:p w:rsidR="00DF1EB6" w:rsidRDefault="002F1DC5">
      <w:pPr>
        <w:spacing w:before="26" w:after="0"/>
      </w:pPr>
      <w:r>
        <w:rPr>
          <w:color w:val="000000"/>
        </w:rPr>
        <w:t>4. Osoby dokonujące zgłoszenia do odpowiednich instytucji, organów lub jednostek organizacyjnych Unii naruszeń objętych zakresem stosowania niniejszej dyrektywy kwalifikują się do objęcia ochroną ustanowioną w niniejszej dyrektywie na takich samych warun</w:t>
      </w:r>
      <w:r>
        <w:rPr>
          <w:color w:val="000000"/>
        </w:rPr>
        <w:t>kach jak osoby, które dokonały zgłoszenia zewnętrznego.</w:t>
      </w:r>
    </w:p>
    <w:p w:rsidR="00DF1EB6" w:rsidRDefault="00DF1EB6">
      <w:pPr>
        <w:spacing w:after="0"/>
      </w:pPr>
    </w:p>
    <w:p w:rsidR="00DF1EB6" w:rsidRDefault="002F1DC5">
      <w:pPr>
        <w:spacing w:before="89" w:after="0"/>
        <w:jc w:val="center"/>
      </w:pPr>
      <w:r>
        <w:rPr>
          <w:b/>
          <w:color w:val="000000"/>
        </w:rPr>
        <w:t>ROZDZIAŁ  II</w:t>
      </w:r>
    </w:p>
    <w:p w:rsidR="00DF1EB6" w:rsidRDefault="002F1DC5">
      <w:pPr>
        <w:spacing w:before="25" w:after="0"/>
        <w:jc w:val="center"/>
      </w:pPr>
      <w:r>
        <w:rPr>
          <w:b/>
          <w:color w:val="000000"/>
        </w:rPr>
        <w:t>ZGŁOSZENIA WEWNĘTRZNE I DZIAŁANIA NASTĘPCZE</w:t>
      </w:r>
    </w:p>
    <w:p w:rsidR="00DF1EB6" w:rsidRDefault="00DF1EB6">
      <w:pPr>
        <w:spacing w:before="80" w:after="0"/>
      </w:pPr>
    </w:p>
    <w:p w:rsidR="00DF1EB6" w:rsidRDefault="002F1DC5">
      <w:pPr>
        <w:spacing w:after="0"/>
      </w:pPr>
      <w:r>
        <w:rPr>
          <w:b/>
          <w:color w:val="000000"/>
        </w:rPr>
        <w:lastRenderedPageBreak/>
        <w:t>Artykuł  7</w:t>
      </w:r>
    </w:p>
    <w:p w:rsidR="00DF1EB6" w:rsidRDefault="002F1DC5">
      <w:pPr>
        <w:spacing w:after="0"/>
      </w:pPr>
      <w:r>
        <w:rPr>
          <w:b/>
          <w:color w:val="000000"/>
        </w:rPr>
        <w:t>Zgłaszanie za pośrednictwem wewnętrznych kanałów dokonywania zgłoszeń</w:t>
      </w:r>
    </w:p>
    <w:p w:rsidR="00DF1EB6" w:rsidRDefault="002F1DC5">
      <w:pPr>
        <w:spacing w:before="26" w:after="0"/>
      </w:pPr>
      <w:r>
        <w:rPr>
          <w:color w:val="000000"/>
        </w:rPr>
        <w:t>1. Co do zasady i bez uszczerbku dla art. 10 i 15 informacje</w:t>
      </w:r>
      <w:r>
        <w:rPr>
          <w:color w:val="000000"/>
        </w:rPr>
        <w:t xml:space="preserve"> na temat naruszeń mogą być zgłaszane za pośrednictwem wewnętrznych kanałów i procedur dokonywania zgłoszeń przewidzianych w niniejszym rozdziale.</w:t>
      </w:r>
    </w:p>
    <w:p w:rsidR="00DF1EB6" w:rsidRDefault="002F1DC5">
      <w:pPr>
        <w:spacing w:before="26" w:after="0"/>
      </w:pPr>
      <w:r>
        <w:rPr>
          <w:color w:val="000000"/>
        </w:rPr>
        <w:t>2. Państwa członkowskie zachęcają do zgłaszania za pośrednictwem wewnętrznych kanałów dokonywania zgłoszeń pr</w:t>
      </w:r>
      <w:r>
        <w:rPr>
          <w:color w:val="000000"/>
        </w:rPr>
        <w:t>zed dokonaniem zgłoszenia za pośrednictwem zewnętrznych kanałów dokonywania zgłoszeń w przypadku, gdy naruszeniu można skutecznie zaradzić wewnątrz organizacji, a osoba dokonująca zgłoszenia uważa, że nie zachodzi ryzyko działań odwetowych.</w:t>
      </w:r>
    </w:p>
    <w:p w:rsidR="00DF1EB6" w:rsidRDefault="002F1DC5">
      <w:pPr>
        <w:spacing w:before="26" w:after="0"/>
      </w:pPr>
      <w:r>
        <w:rPr>
          <w:color w:val="000000"/>
        </w:rPr>
        <w:t>3. Należy przek</w:t>
      </w:r>
      <w:r>
        <w:rPr>
          <w:color w:val="000000"/>
        </w:rPr>
        <w:t>azać odpowiednie informacje dotyczące korzystania z wewnętrznych kanałów dokonywania zgłoszeń, o którym mowa w ust. 2, w kontekście informacji udzielanych przez podmioty prawne w sektorze prywatnym i publicznym zgodnie z art. 9 ust. 1 lit. g) i przez właśc</w:t>
      </w:r>
      <w:r>
        <w:rPr>
          <w:color w:val="000000"/>
        </w:rPr>
        <w:t>iwe organy zgodnie z art. 12 ust. 4 lit. a) i art. 13.</w:t>
      </w:r>
    </w:p>
    <w:p w:rsidR="00DF1EB6" w:rsidRDefault="00DF1EB6">
      <w:pPr>
        <w:spacing w:before="80" w:after="0"/>
      </w:pPr>
    </w:p>
    <w:p w:rsidR="00DF1EB6" w:rsidRDefault="002F1DC5">
      <w:pPr>
        <w:spacing w:after="0"/>
      </w:pPr>
      <w:r>
        <w:rPr>
          <w:b/>
          <w:color w:val="000000"/>
        </w:rPr>
        <w:t>Artykuł  8</w:t>
      </w:r>
    </w:p>
    <w:p w:rsidR="00DF1EB6" w:rsidRDefault="002F1DC5">
      <w:pPr>
        <w:spacing w:after="0"/>
      </w:pPr>
      <w:r>
        <w:rPr>
          <w:b/>
          <w:color w:val="000000"/>
        </w:rPr>
        <w:t>Obowiązek ustanowienia wewnętrznych kanałów dokonywania zgłoszeń</w:t>
      </w:r>
    </w:p>
    <w:p w:rsidR="00DF1EB6" w:rsidRDefault="002F1DC5">
      <w:pPr>
        <w:spacing w:before="26" w:after="0"/>
      </w:pPr>
      <w:r>
        <w:rPr>
          <w:color w:val="000000"/>
        </w:rPr>
        <w:t>1. Państwa członkowskie zapewniają, by podmioty prawne w sektorze prywatnym i publicznym ustanowiły kanały i procedury na po</w:t>
      </w:r>
      <w:r>
        <w:rPr>
          <w:color w:val="000000"/>
        </w:rPr>
        <w:t>trzeby dokonywania zgłoszeń wewnętrznych i podejmowania działań następczych, po konsultacji i w porozumieniu z partnerami społecznymi, jeżeli tak przewiduje prawo krajowe.</w:t>
      </w:r>
    </w:p>
    <w:p w:rsidR="00DF1EB6" w:rsidRDefault="002F1DC5">
      <w:pPr>
        <w:spacing w:before="26" w:after="0"/>
      </w:pPr>
      <w:r>
        <w:rPr>
          <w:color w:val="000000"/>
        </w:rPr>
        <w:t>2. Kanały i procedury, o których mowa w ust. 1 niniejszego artykułu, powinny umożliw</w:t>
      </w:r>
      <w:r>
        <w:rPr>
          <w:color w:val="000000"/>
        </w:rPr>
        <w:t>iać pracownikom podmiotu dokonywanie zgłoszeń informacji na temat naruszeń. Mogą one umożliwiać dokonywanie zgłoszeń informacji na temat naruszeń również przez inne osoby, o których mowa w art. 4 ust. 1 lit b), c) i d) oraz art. 4 ust. 2, utrzymujące konta</w:t>
      </w:r>
      <w:r>
        <w:rPr>
          <w:color w:val="000000"/>
        </w:rPr>
        <w:t>kt z podmiotem w kontekście związanym z pracą.</w:t>
      </w:r>
    </w:p>
    <w:p w:rsidR="00DF1EB6" w:rsidRDefault="002F1DC5">
      <w:pPr>
        <w:spacing w:before="26" w:after="0"/>
      </w:pPr>
      <w:r>
        <w:rPr>
          <w:color w:val="000000"/>
        </w:rPr>
        <w:t>3. Ust. 1 stosuje się do podmiotów prawnych w sektorze prywatnym, które zatrudniają co najmniej 50 pracowników.</w:t>
      </w:r>
    </w:p>
    <w:p w:rsidR="00DF1EB6" w:rsidRDefault="002F1DC5">
      <w:pPr>
        <w:spacing w:before="26" w:after="0"/>
      </w:pPr>
      <w:r>
        <w:rPr>
          <w:color w:val="000000"/>
        </w:rPr>
        <w:t>4. Próg określony w ust. 3 nie ma zastosowania do podmiotów objętych zakresem stosowania aktów Un</w:t>
      </w:r>
      <w:r>
        <w:rPr>
          <w:color w:val="000000"/>
        </w:rPr>
        <w:t>ii wymienionych w części I.B i II załącznika.</w:t>
      </w:r>
    </w:p>
    <w:p w:rsidR="00DF1EB6" w:rsidRDefault="002F1DC5">
      <w:pPr>
        <w:spacing w:before="26" w:after="0"/>
      </w:pPr>
      <w:r>
        <w:rPr>
          <w:color w:val="000000"/>
        </w:rPr>
        <w:t>5. Kanały dokonywania zgłoszeń mogą być obsługiwane wewnętrznie przez wyznaczoną do tego celu osobę lub wyznaczony dział lub zapewniane zewnętrznie przez osobę trzecią. Zabezpieczenia i wymogi, o których mowa w</w:t>
      </w:r>
      <w:r>
        <w:rPr>
          <w:color w:val="000000"/>
        </w:rPr>
        <w:t xml:space="preserve"> art. 9 ust. 1, stosuje się również do osób trzecich, którym powierzono obsługę kanału dokonywania zgłoszeń na rzecz podmiotu prawnego w sektorze prywatnym.</w:t>
      </w:r>
    </w:p>
    <w:p w:rsidR="00DF1EB6" w:rsidRDefault="002F1DC5">
      <w:pPr>
        <w:spacing w:before="26" w:after="0"/>
      </w:pPr>
      <w:r>
        <w:rPr>
          <w:color w:val="000000"/>
        </w:rPr>
        <w:t>6. Podmioty prawne w sektorze prywatnym zatrudniające od 50 do 249 pracowników mogą dzielić się zas</w:t>
      </w:r>
      <w:r>
        <w:rPr>
          <w:color w:val="000000"/>
        </w:rPr>
        <w:t>obami w zakresie przyjmowania zgłoszeń i wszelkich prowadzonych postępowań wyjaśniających. Pozostaje to bez uszczerbku dla obowiązków nałożonych na te podmioty przez niniejszą dyrektywę w zakresie zachowania poufności, przekazywania informacji zwrotnych or</w:t>
      </w:r>
      <w:r>
        <w:rPr>
          <w:color w:val="000000"/>
        </w:rPr>
        <w:t>az zaradzenia naruszeniu będącemu przedmiotem zgłoszenia.</w:t>
      </w:r>
    </w:p>
    <w:p w:rsidR="00DF1EB6" w:rsidRDefault="002F1DC5">
      <w:pPr>
        <w:spacing w:before="26" w:after="0"/>
      </w:pPr>
      <w:r>
        <w:rPr>
          <w:color w:val="000000"/>
        </w:rPr>
        <w:t xml:space="preserve">7. Po dokonaniu odpowiedniej oceny ryzyka, uwzględniającej charakter działalności podmiotów i wynikający z niej poziom ryzyka, w szczególności w dziedzinie środowiska i zdrowia publicznego, państwa </w:t>
      </w:r>
      <w:r>
        <w:rPr>
          <w:color w:val="000000"/>
        </w:rPr>
        <w:t xml:space="preserve">członkowskie mogą zobowiązać podmioty prawne w sektorze </w:t>
      </w:r>
      <w:r>
        <w:rPr>
          <w:color w:val="000000"/>
        </w:rPr>
        <w:lastRenderedPageBreak/>
        <w:t>prywatnym, które zatrudniają mniej niż 50 pracowników, do ustanowienia wewnętrznych kanałów i procedur dokonywania zgłoszeń zgodnie z rozdziałem II.</w:t>
      </w:r>
    </w:p>
    <w:p w:rsidR="00DF1EB6" w:rsidRDefault="002F1DC5">
      <w:pPr>
        <w:spacing w:before="26" w:after="0"/>
      </w:pPr>
      <w:r>
        <w:rPr>
          <w:color w:val="000000"/>
        </w:rPr>
        <w:t xml:space="preserve">8. Państwa członkowskie powiadamiają Komisję o </w:t>
      </w:r>
      <w:r>
        <w:rPr>
          <w:color w:val="000000"/>
        </w:rPr>
        <w:t>każdej podjętej przez nie decyzji zobowiązującej podmioty prawne w sektorze prywatnym do ustanowienia wewnętrznych kanałów dokonywania zgłoszeń zgodnie z ust. 7. Powiadomienie takie musi zawierać uzasadnienie decyzji oraz kryteria zastosowane w ocenie ryzy</w:t>
      </w:r>
      <w:r>
        <w:rPr>
          <w:color w:val="000000"/>
        </w:rPr>
        <w:t>ka, o których mowa w ust. 7. Komisja informuje o tej decyzji pozostałe państwa członkowskie.</w:t>
      </w:r>
    </w:p>
    <w:p w:rsidR="00DF1EB6" w:rsidRDefault="002F1DC5">
      <w:pPr>
        <w:spacing w:before="26" w:after="0"/>
      </w:pPr>
      <w:r>
        <w:rPr>
          <w:color w:val="000000"/>
        </w:rPr>
        <w:t>9. Ust. 1 stosuje się do wszystkich podmiotów prawnych w sektorze publicznym, w tym do podmiotów będących własnością lub znajdujących się pod kontrolą takich podmi</w:t>
      </w:r>
      <w:r>
        <w:rPr>
          <w:color w:val="000000"/>
        </w:rPr>
        <w:t>otów.</w:t>
      </w:r>
    </w:p>
    <w:p w:rsidR="00DF1EB6" w:rsidRDefault="002F1DC5">
      <w:pPr>
        <w:spacing w:before="25" w:after="0"/>
        <w:jc w:val="both"/>
      </w:pPr>
      <w:r>
        <w:rPr>
          <w:color w:val="000000"/>
        </w:rPr>
        <w:t>Państwa członkowskie mogą zwolnić z obowiązku, o którym mowa w ust. 1, gminy liczące mniej niż 10 000 mieszkańców lub zatrudniające mniej niż 50 pracowników lub inne podmioty, o których mowa w akapicie pierwszym niniejszego ustępu zatrudniające mniej</w:t>
      </w:r>
      <w:r>
        <w:rPr>
          <w:color w:val="000000"/>
        </w:rPr>
        <w:t xml:space="preserve"> niż 50 pracowników.</w:t>
      </w:r>
    </w:p>
    <w:p w:rsidR="00DF1EB6" w:rsidRDefault="002F1DC5">
      <w:pPr>
        <w:spacing w:before="25" w:after="0"/>
        <w:jc w:val="both"/>
      </w:pPr>
      <w:r>
        <w:rPr>
          <w:color w:val="000000"/>
        </w:rPr>
        <w:t>Państwa członkowskie mogą wprowadzić przepisy przewidujące, że wewnętrzne kanały dokonywania zgłoszeń mogą być wspólne dla kilku gmin lub obsługiwane przez wspólne organy gminne zgodnie z prawem krajowym, pod warunkiem że wspólne wewnę</w:t>
      </w:r>
      <w:r>
        <w:rPr>
          <w:color w:val="000000"/>
        </w:rPr>
        <w:t>trzne kanały dokonywania zgłoszeń są odrębne i niezależne od odpowiednich zewnętrznych kanałów dokonywania zgłoszeń.</w:t>
      </w:r>
    </w:p>
    <w:p w:rsidR="00DF1EB6" w:rsidRDefault="00DF1EB6">
      <w:pPr>
        <w:spacing w:before="80" w:after="0"/>
      </w:pPr>
    </w:p>
    <w:p w:rsidR="00DF1EB6" w:rsidRDefault="002F1DC5">
      <w:pPr>
        <w:spacing w:after="0"/>
      </w:pPr>
      <w:r>
        <w:rPr>
          <w:b/>
          <w:color w:val="000000"/>
        </w:rPr>
        <w:t>Artykuł  9</w:t>
      </w:r>
    </w:p>
    <w:p w:rsidR="00DF1EB6" w:rsidRDefault="002F1DC5">
      <w:pPr>
        <w:spacing w:after="0"/>
      </w:pPr>
      <w:r>
        <w:rPr>
          <w:b/>
          <w:color w:val="000000"/>
        </w:rPr>
        <w:t>Procedury na potrzeby zgłoszeń wewnętrznych i działań następczych</w:t>
      </w:r>
    </w:p>
    <w:p w:rsidR="00DF1EB6" w:rsidRDefault="002F1DC5">
      <w:pPr>
        <w:spacing w:before="26" w:after="0"/>
      </w:pPr>
      <w:r>
        <w:rPr>
          <w:color w:val="000000"/>
        </w:rPr>
        <w:t>1. Procedury na potrzeby zgłoszeń wewnętrznych i działań nast</w:t>
      </w:r>
      <w:r>
        <w:rPr>
          <w:color w:val="000000"/>
        </w:rPr>
        <w:t>ępczych, o których mowa w art. 8, obejmują następujące elementy:</w:t>
      </w:r>
    </w:p>
    <w:p w:rsidR="00DF1EB6" w:rsidRDefault="002F1DC5">
      <w:pPr>
        <w:spacing w:after="0"/>
        <w:ind w:left="373"/>
      </w:pPr>
      <w:r>
        <w:rPr>
          <w:color w:val="000000"/>
        </w:rPr>
        <w:t>a) kanały przyjmowania zgłoszeń zaprojektowane, ustanowione i obsługiwane w bezpieczny sposób zapewniający ochronę poufności tożsamości osoby dokonującej zgłoszenia i osoby trzeciej wymienion</w:t>
      </w:r>
      <w:r>
        <w:rPr>
          <w:color w:val="000000"/>
        </w:rPr>
        <w:t>ej w zgłoszeniu oraz uniemożliwiający uzyskanie do nich dostępu nieupoważnionym członkom personelu;</w:t>
      </w:r>
    </w:p>
    <w:p w:rsidR="00DF1EB6" w:rsidRDefault="002F1DC5">
      <w:pPr>
        <w:spacing w:after="0"/>
        <w:ind w:left="373"/>
      </w:pPr>
      <w:r>
        <w:rPr>
          <w:color w:val="000000"/>
        </w:rPr>
        <w:t>b) potwierdzenie osobie dokonującej zgłoszenia przyjęcia zgłoszenia w terminie siedmiu dni od jego otrzymania;</w:t>
      </w:r>
    </w:p>
    <w:p w:rsidR="00DF1EB6" w:rsidRDefault="002F1DC5">
      <w:pPr>
        <w:spacing w:after="0"/>
        <w:ind w:left="373"/>
      </w:pPr>
      <w:r>
        <w:rPr>
          <w:color w:val="000000"/>
        </w:rPr>
        <w:t>c) wyznaczenie bezstronnej osoby lub bezstron</w:t>
      </w:r>
      <w:r>
        <w:rPr>
          <w:color w:val="000000"/>
        </w:rPr>
        <w:t xml:space="preserve">nego wydziału właściwych do podejmowania działań następczych w związku ze zgłoszeniami, przy czym może to być ta sama osoba lub ten sam </w:t>
      </w:r>
      <w:proofErr w:type="spellStart"/>
      <w:r>
        <w:rPr>
          <w:color w:val="000000"/>
        </w:rPr>
        <w:t>wydział</w:t>
      </w:r>
      <w:proofErr w:type="spellEnd"/>
      <w:r>
        <w:rPr>
          <w:color w:val="000000"/>
        </w:rPr>
        <w:t>, które przyjmują zgłoszenia, które będą komunikować się z osobą dokonującą zgłoszenia i w stosownych przypadkach</w:t>
      </w:r>
      <w:r>
        <w:rPr>
          <w:color w:val="000000"/>
        </w:rPr>
        <w:t xml:space="preserve"> zwracać się do osoby dokonującej zgłoszenia o dalsze informacje oraz przekazywać jej informacje zwrotne;</w:t>
      </w:r>
    </w:p>
    <w:p w:rsidR="00DF1EB6" w:rsidRDefault="002F1DC5">
      <w:pPr>
        <w:spacing w:after="0"/>
        <w:ind w:left="373"/>
      </w:pPr>
      <w:r>
        <w:rPr>
          <w:color w:val="000000"/>
        </w:rPr>
        <w:t xml:space="preserve">d) podejmowanie z zachowaniem należytej staranności działań następczych przez wyznaczoną osobę lub wyznaczony </w:t>
      </w:r>
      <w:proofErr w:type="spellStart"/>
      <w:r>
        <w:rPr>
          <w:color w:val="000000"/>
        </w:rPr>
        <w:t>wydział</w:t>
      </w:r>
      <w:proofErr w:type="spellEnd"/>
      <w:r>
        <w:rPr>
          <w:color w:val="000000"/>
        </w:rPr>
        <w:t>, o których mowa w lit. c);</w:t>
      </w:r>
    </w:p>
    <w:p w:rsidR="00DF1EB6" w:rsidRDefault="002F1DC5">
      <w:pPr>
        <w:spacing w:after="0"/>
        <w:ind w:left="373"/>
      </w:pPr>
      <w:r>
        <w:rPr>
          <w:color w:val="000000"/>
        </w:rPr>
        <w:t>e) po</w:t>
      </w:r>
      <w:r>
        <w:rPr>
          <w:color w:val="000000"/>
        </w:rPr>
        <w:t>dejmowanie z zachowaniem należytej staranności działań następczych, jeżeli prawo krajowe przewiduje takie działania, w odniesieniu do zgłoszeń anonimowych;</w:t>
      </w:r>
    </w:p>
    <w:p w:rsidR="00DF1EB6" w:rsidRDefault="002F1DC5">
      <w:pPr>
        <w:spacing w:after="0"/>
        <w:ind w:left="373"/>
      </w:pPr>
      <w:r>
        <w:rPr>
          <w:color w:val="000000"/>
        </w:rPr>
        <w:t>f) rozsądny termin na przekazanie informacji zwrotnych, nieprzekraczający trzech miesięcy od potwier</w:t>
      </w:r>
      <w:r>
        <w:rPr>
          <w:color w:val="000000"/>
        </w:rPr>
        <w:t>dzenia otrzymania zgłoszenia lub, w przypadku niewysłania potwierdzenia do osoby dokonującej zgłoszenia, trzech miesięcy od upływu 7 dni od dokonania zgłoszenia;</w:t>
      </w:r>
    </w:p>
    <w:p w:rsidR="00DF1EB6" w:rsidRDefault="002F1DC5">
      <w:pPr>
        <w:spacing w:after="0"/>
        <w:ind w:left="373"/>
      </w:pPr>
      <w:r>
        <w:rPr>
          <w:color w:val="000000"/>
        </w:rPr>
        <w:lastRenderedPageBreak/>
        <w:t>g) zapewnienie zrozumiałych i łatwo dostępnych informacji na temat procedur na potrzeby dokony</w:t>
      </w:r>
      <w:r>
        <w:rPr>
          <w:color w:val="000000"/>
        </w:rPr>
        <w:t>wania zgłoszeń zewnętrznych do właściwych organów zgodnie z art. 10 oraz, w stosownych przypadkach, do instytucji, organów lub jednostek organizacyjnych Unii.</w:t>
      </w:r>
    </w:p>
    <w:p w:rsidR="00DF1EB6" w:rsidRDefault="002F1DC5">
      <w:pPr>
        <w:spacing w:before="26" w:after="0"/>
      </w:pPr>
      <w:r>
        <w:rPr>
          <w:color w:val="000000"/>
        </w:rPr>
        <w:t>2. Kanały przewidziane w ust. 1 lit. a) muszą umożliwiać dokonywanie zgłoszeń na piśmie lub ustni</w:t>
      </w:r>
      <w:r>
        <w:rPr>
          <w:color w:val="000000"/>
        </w:rPr>
        <w:t>e. Zgłoszenie ustne może być dokonane telefonicznie lub za pośrednictwem innych systemów komunikacji głosowej oraz, na wniosek osoby dokonującej zgłoszenia, za pomocą bezpośredniego spotkania zorganizowanego w rozsądnym terminie.</w:t>
      </w:r>
    </w:p>
    <w:p w:rsidR="00DF1EB6" w:rsidRDefault="00DF1EB6">
      <w:pPr>
        <w:spacing w:after="0"/>
      </w:pPr>
    </w:p>
    <w:p w:rsidR="00DF1EB6" w:rsidRDefault="002F1DC5">
      <w:pPr>
        <w:spacing w:before="89" w:after="0"/>
        <w:jc w:val="center"/>
      </w:pPr>
      <w:r>
        <w:rPr>
          <w:b/>
          <w:color w:val="000000"/>
        </w:rPr>
        <w:t>ROZDZIAŁ  III</w:t>
      </w:r>
    </w:p>
    <w:p w:rsidR="00DF1EB6" w:rsidRDefault="002F1DC5">
      <w:pPr>
        <w:spacing w:before="25" w:after="0"/>
        <w:jc w:val="center"/>
      </w:pPr>
      <w:r>
        <w:rPr>
          <w:b/>
          <w:color w:val="000000"/>
        </w:rPr>
        <w:t xml:space="preserve">ZGŁOSZENIA </w:t>
      </w:r>
      <w:r>
        <w:rPr>
          <w:b/>
          <w:color w:val="000000"/>
        </w:rPr>
        <w:t>ZEWNĘTRZNE I DZIAŁANIA NASTĘPCZE</w:t>
      </w:r>
    </w:p>
    <w:p w:rsidR="00DF1EB6" w:rsidRDefault="00DF1EB6">
      <w:pPr>
        <w:spacing w:before="80" w:after="0"/>
      </w:pPr>
    </w:p>
    <w:p w:rsidR="00DF1EB6" w:rsidRDefault="002F1DC5">
      <w:pPr>
        <w:spacing w:after="0"/>
      </w:pPr>
      <w:r>
        <w:rPr>
          <w:b/>
          <w:color w:val="000000"/>
        </w:rPr>
        <w:t>Artykuł  10</w:t>
      </w:r>
    </w:p>
    <w:p w:rsidR="00DF1EB6" w:rsidRDefault="002F1DC5">
      <w:pPr>
        <w:spacing w:after="0"/>
      </w:pPr>
      <w:r>
        <w:rPr>
          <w:b/>
          <w:color w:val="000000"/>
        </w:rPr>
        <w:t>Zgłaszanie za pośrednictwem zewnętrznych kanałów dokonywania zgłoszeń</w:t>
      </w:r>
    </w:p>
    <w:p w:rsidR="00DF1EB6" w:rsidRDefault="002F1DC5">
      <w:pPr>
        <w:spacing w:before="25" w:after="0"/>
        <w:jc w:val="both"/>
      </w:pPr>
      <w:r>
        <w:rPr>
          <w:color w:val="000000"/>
        </w:rPr>
        <w:t>Bez uszczerbku dla art. 15 ust. 1 lit b) osoby dokonujące zgłoszenia zgłaszają informacje na temat naruszeń korzystając z kanałów i procedur</w:t>
      </w:r>
      <w:r>
        <w:rPr>
          <w:color w:val="000000"/>
        </w:rPr>
        <w:t>, o których mowa w art. 11 i 12, po uprzednim dokonaniu zgłoszenia za pośrednictwem wewnętrznego kanału dokonywania zgłoszeń lub dokonując zgłoszenia od razu za pośrednictwem zewnętrznego kanału dokonywania zgłoszeń.</w:t>
      </w:r>
    </w:p>
    <w:p w:rsidR="00DF1EB6" w:rsidRDefault="00DF1EB6">
      <w:pPr>
        <w:spacing w:before="80" w:after="0"/>
      </w:pPr>
    </w:p>
    <w:p w:rsidR="00DF1EB6" w:rsidRDefault="002F1DC5">
      <w:pPr>
        <w:spacing w:after="0"/>
      </w:pPr>
      <w:r>
        <w:rPr>
          <w:b/>
          <w:color w:val="000000"/>
        </w:rPr>
        <w:t>Artykuł  11</w:t>
      </w:r>
    </w:p>
    <w:p w:rsidR="00DF1EB6" w:rsidRDefault="002F1DC5">
      <w:pPr>
        <w:spacing w:after="0"/>
      </w:pPr>
      <w:r>
        <w:rPr>
          <w:b/>
          <w:color w:val="000000"/>
        </w:rPr>
        <w:t xml:space="preserve">Obowiązek ustanowienia </w:t>
      </w:r>
      <w:r>
        <w:rPr>
          <w:b/>
          <w:color w:val="000000"/>
        </w:rPr>
        <w:t>zewnętrznych kanałów dokonywania zgłoszeń i podejmowania działań następczych w związku ze zgłoszeniami</w:t>
      </w:r>
    </w:p>
    <w:p w:rsidR="00DF1EB6" w:rsidRDefault="002F1DC5">
      <w:pPr>
        <w:spacing w:before="26" w:after="0"/>
      </w:pPr>
      <w:r>
        <w:rPr>
          <w:color w:val="000000"/>
        </w:rPr>
        <w:t>1. Państwa członkowskie wyznaczają organy właściwe do przyjmowania zgłoszeń, przekazywania informacji zwrotnych na ich temat i podejmowania działań nastę</w:t>
      </w:r>
      <w:r>
        <w:rPr>
          <w:color w:val="000000"/>
        </w:rPr>
        <w:t>pczych w związku z nimi i zapewniają tym organom odpowiednie zasoby.</w:t>
      </w:r>
    </w:p>
    <w:p w:rsidR="00DF1EB6" w:rsidRDefault="002F1DC5">
      <w:pPr>
        <w:spacing w:before="26" w:after="0"/>
      </w:pPr>
      <w:r>
        <w:rPr>
          <w:color w:val="000000"/>
        </w:rPr>
        <w:t>2. Państwa członkowskie zapewniają, aby właściwe organy:</w:t>
      </w:r>
    </w:p>
    <w:p w:rsidR="00DF1EB6" w:rsidRDefault="002F1DC5">
      <w:pPr>
        <w:spacing w:after="0"/>
        <w:ind w:left="373"/>
      </w:pPr>
      <w:r>
        <w:rPr>
          <w:color w:val="000000"/>
        </w:rPr>
        <w:t>a) ustanowiły niezależne i autonomiczne zewnętrzne kanały dokonywania zgłoszeń w celu przyjmowania i przetwarzania informacji na t</w:t>
      </w:r>
      <w:r>
        <w:rPr>
          <w:color w:val="000000"/>
        </w:rPr>
        <w:t>emat naruszeń;</w:t>
      </w:r>
    </w:p>
    <w:p w:rsidR="00DF1EB6" w:rsidRDefault="002F1DC5">
      <w:pPr>
        <w:spacing w:after="0"/>
        <w:ind w:left="373"/>
      </w:pPr>
      <w:r>
        <w:rPr>
          <w:color w:val="000000"/>
        </w:rPr>
        <w:t xml:space="preserve">b) niezwłocznie, a w każdym razie w terminie siedmiu dni od otrzymania zgłoszenia, potwierdzały jego otrzymanie, chyba że osoba dokonująca zgłoszenia wystąpiła wyraźnie z odmiennym wnioskiem w tym zakresie lub właściwy organ ma uzasadnione </w:t>
      </w:r>
      <w:r>
        <w:rPr>
          <w:color w:val="000000"/>
        </w:rPr>
        <w:t>powody, by sądzić, że potwierdzenie otrzymania zgłoszenia zagroziłoby ochronie tożsamości tej osoby;</w:t>
      </w:r>
    </w:p>
    <w:p w:rsidR="00DF1EB6" w:rsidRDefault="002F1DC5">
      <w:pPr>
        <w:spacing w:after="0"/>
        <w:ind w:left="373"/>
      </w:pPr>
      <w:r>
        <w:rPr>
          <w:color w:val="000000"/>
        </w:rPr>
        <w:t>c) podejmowały z zachowaniem należytej staranności działania następcze w związku ze zgłoszeniami;</w:t>
      </w:r>
    </w:p>
    <w:p w:rsidR="00DF1EB6" w:rsidRDefault="002F1DC5">
      <w:pPr>
        <w:spacing w:after="0"/>
        <w:ind w:left="373"/>
      </w:pPr>
      <w:r>
        <w:rPr>
          <w:color w:val="000000"/>
        </w:rPr>
        <w:t>d) przekazały osobie dokonującej zgłoszenia informacje zw</w:t>
      </w:r>
      <w:r>
        <w:rPr>
          <w:color w:val="000000"/>
        </w:rPr>
        <w:t>rotne w rozsądnym terminie, nieprzekraczającym trzech miesięcy lub, w należycie uzasadnionych przypadkach - w terminie sześciu miesięcy;</w:t>
      </w:r>
    </w:p>
    <w:p w:rsidR="00DF1EB6" w:rsidRDefault="002F1DC5">
      <w:pPr>
        <w:spacing w:after="0"/>
        <w:ind w:left="373"/>
      </w:pPr>
      <w:r>
        <w:rPr>
          <w:color w:val="000000"/>
        </w:rPr>
        <w:t>e) poinformowały osobę dokonującą zgłoszenia o ostatecznym wyniku postępowań wyjaśniających uruchomionych na skutek dan</w:t>
      </w:r>
      <w:r>
        <w:rPr>
          <w:color w:val="000000"/>
        </w:rPr>
        <w:t>ego zgłoszenia, zgodnie z procedurami przewidzianymi w prawie krajowym;</w:t>
      </w:r>
    </w:p>
    <w:p w:rsidR="00DF1EB6" w:rsidRDefault="002F1DC5">
      <w:pPr>
        <w:spacing w:after="0"/>
        <w:ind w:left="373"/>
      </w:pPr>
      <w:r>
        <w:rPr>
          <w:color w:val="000000"/>
        </w:rPr>
        <w:lastRenderedPageBreak/>
        <w:t>f) przekazały w stosownych terminie, w odpowiednich przypadkach, właściwym instytucjom, organom lub jednostkom organizacyjnym Unii informacje zawarte w zgłoszeniu w celu przeprowadzeni</w:t>
      </w:r>
      <w:r>
        <w:rPr>
          <w:color w:val="000000"/>
        </w:rPr>
        <w:t>a dalszego postępowania wyjaśniającego, o ile jest to przewidziane w prawie Unii lub w prawie krajowym.</w:t>
      </w:r>
    </w:p>
    <w:p w:rsidR="00DF1EB6" w:rsidRDefault="002F1DC5">
      <w:pPr>
        <w:spacing w:before="26" w:after="0"/>
      </w:pPr>
      <w:r>
        <w:rPr>
          <w:color w:val="000000"/>
        </w:rPr>
        <w:t>3. Państwa członkowskie mogą wprowadzić przepisy przewidujące, że właściwe organy, po dokonaniu należytej oceny sprawy, mogą zdecydować, że naruszenie b</w:t>
      </w:r>
      <w:r>
        <w:rPr>
          <w:color w:val="000000"/>
        </w:rPr>
        <w:t>ędące przedmiotem zgłoszenia ma wyraźnie niewielką wagę i nie wymaga podjęcia dalszych działań następczych zgodnie z niniejszą dyrektywą, innych niż zamknięcie procedury. Pozostaje to bez wpływu na inne obowiązki lub inne mające zastosowanie procedury w za</w:t>
      </w:r>
      <w:r>
        <w:rPr>
          <w:color w:val="000000"/>
        </w:rPr>
        <w:t xml:space="preserve">kresie zaradzenia naruszeniu będącemu przedmiotem zgłoszenia lub na ochronę przyznaną niniejszą dyrektywą w związku ze zgłoszeniami wewnętrznymi lub zewnętrznymi. W takim przypadku właściwe organy powiadamiają osobę dokonującą zgłoszenia o swojej decyzji, </w:t>
      </w:r>
      <w:r>
        <w:rPr>
          <w:color w:val="000000"/>
        </w:rPr>
        <w:t>podając jej uzasadnienie.</w:t>
      </w:r>
    </w:p>
    <w:p w:rsidR="00DF1EB6" w:rsidRDefault="002F1DC5">
      <w:pPr>
        <w:spacing w:before="26" w:after="0"/>
      </w:pPr>
      <w:r>
        <w:rPr>
          <w:color w:val="000000"/>
        </w:rPr>
        <w:t>4. Państwa członkowskie mogą wprowadzić przepisy przewidujące, że właściwe organy mogą postanowić o zamknięciu procedury w sprawie zgłoszeń dotyczących sprawy będącej już przedmiotem wcześniejszego zgłoszenia, w których nie zawart</w:t>
      </w:r>
      <w:r>
        <w:rPr>
          <w:color w:val="000000"/>
        </w:rPr>
        <w:t>o żadnych istotnych nowych informacji na temat naruszeń w porównaniu z wcześniejszym zgłoszeniem, w przypadku którego odpowiednia procedura została zakończona, chyba że nowe okoliczności prawne lub faktyczne uzasadniają podjęcie innych działań następczych.</w:t>
      </w:r>
      <w:r>
        <w:rPr>
          <w:color w:val="000000"/>
        </w:rPr>
        <w:t xml:space="preserve"> W takim przypadku właściwe organy powiadamiają osobę dokonującą zgłoszenia o swojej decyzji, podając jej uzasadnienie.</w:t>
      </w:r>
    </w:p>
    <w:p w:rsidR="00DF1EB6" w:rsidRDefault="002F1DC5">
      <w:pPr>
        <w:spacing w:before="26" w:after="0"/>
      </w:pPr>
      <w:r>
        <w:rPr>
          <w:color w:val="000000"/>
        </w:rPr>
        <w:t xml:space="preserve">5. Państwa członkowskie mogą wprowadzić przepisy przewidujące, że w przypadku wpływu wielu zgłoszeń właściwe organy mogą zajmować się w </w:t>
      </w:r>
      <w:r>
        <w:rPr>
          <w:color w:val="000000"/>
        </w:rPr>
        <w:t>trybie priorytetowym zgłoszeniami dotyczącymi poważnych naruszeń lub naruszeń związanych z zasadniczymi przepisami objętymi zakresem stosowania niniejszej dyrektywy, bez uszczerbku dla terminu określonego w ust. 2 lit. d).</w:t>
      </w:r>
    </w:p>
    <w:p w:rsidR="00DF1EB6" w:rsidRDefault="002F1DC5">
      <w:pPr>
        <w:spacing w:before="26" w:after="0"/>
      </w:pPr>
      <w:r>
        <w:rPr>
          <w:color w:val="000000"/>
        </w:rPr>
        <w:t>6. Państwa członkowskie zapewniaj</w:t>
      </w:r>
      <w:r>
        <w:rPr>
          <w:color w:val="000000"/>
        </w:rPr>
        <w:t>ą, aby każdy organ, który otrzymał zgłoszenie, ale nie jest właściwy do zaradzenia naruszeniu będącemu przedmiotem naruszenia, przekazał zgłoszenie właściwemu organowi w rozsądnym terminie i w bezpieczny sposób, oraz zapewniają, aby osoba dokonująca zgłosz</w:t>
      </w:r>
      <w:r>
        <w:rPr>
          <w:color w:val="000000"/>
        </w:rPr>
        <w:t>enia została o takim przekazaniu niezwłocznie poinformowana.</w:t>
      </w:r>
    </w:p>
    <w:p w:rsidR="00DF1EB6" w:rsidRDefault="00DF1EB6">
      <w:pPr>
        <w:spacing w:before="80" w:after="0"/>
      </w:pPr>
    </w:p>
    <w:p w:rsidR="00DF1EB6" w:rsidRDefault="002F1DC5">
      <w:pPr>
        <w:spacing w:after="0"/>
      </w:pPr>
      <w:r>
        <w:rPr>
          <w:b/>
          <w:color w:val="000000"/>
        </w:rPr>
        <w:t>Artykuł  12</w:t>
      </w:r>
    </w:p>
    <w:p w:rsidR="00DF1EB6" w:rsidRDefault="002F1DC5">
      <w:pPr>
        <w:spacing w:after="0"/>
      </w:pPr>
      <w:r>
        <w:rPr>
          <w:b/>
          <w:color w:val="000000"/>
        </w:rPr>
        <w:t>Struktura zewnętrznych kanałów dokonywania zgłoszeń</w:t>
      </w:r>
    </w:p>
    <w:p w:rsidR="00DF1EB6" w:rsidRDefault="002F1DC5">
      <w:pPr>
        <w:spacing w:before="26" w:after="0"/>
      </w:pPr>
      <w:r>
        <w:rPr>
          <w:color w:val="000000"/>
        </w:rPr>
        <w:t>1. Zewnętrzne kanały dokonywania zgłoszeń uznaje się za niezależne i autonomiczne, pod warunkiem że spełniają wszystkie następując</w:t>
      </w:r>
      <w:r>
        <w:rPr>
          <w:color w:val="000000"/>
        </w:rPr>
        <w:t>e kryteria:</w:t>
      </w:r>
    </w:p>
    <w:p w:rsidR="00DF1EB6" w:rsidRDefault="002F1DC5">
      <w:pPr>
        <w:spacing w:after="0"/>
        <w:ind w:left="373"/>
      </w:pPr>
      <w:r>
        <w:rPr>
          <w:color w:val="000000"/>
        </w:rPr>
        <w:t>a) zostały zaprojektowane i ustanowione oraz są obsługiwane w sposób zapewniający kompletność, integralność i poufność informacji oraz uniemożliwiający uzyskanie do nich dostępu nieupoważnionym członkom personelu właściwego organu;</w:t>
      </w:r>
    </w:p>
    <w:p w:rsidR="00DF1EB6" w:rsidRDefault="002F1DC5">
      <w:pPr>
        <w:spacing w:after="0"/>
        <w:ind w:left="373"/>
      </w:pPr>
      <w:r>
        <w:rPr>
          <w:color w:val="000000"/>
        </w:rPr>
        <w:t>b) pozwalają</w:t>
      </w:r>
      <w:r>
        <w:rPr>
          <w:color w:val="000000"/>
        </w:rPr>
        <w:t xml:space="preserve"> na przechowywanie informacji w sposób trwały zgodnie z art. 18, aby umożliwić prowadzenie dalszego postępowania wyjaśniającego.</w:t>
      </w:r>
    </w:p>
    <w:p w:rsidR="00DF1EB6" w:rsidRDefault="002F1DC5">
      <w:pPr>
        <w:spacing w:before="26" w:after="0"/>
      </w:pPr>
      <w:r>
        <w:rPr>
          <w:color w:val="000000"/>
        </w:rPr>
        <w:t xml:space="preserve">2. Zewnętrzne kanały dokonywania zgłoszeń muszą umożliwiać dokonywanie zgłoszeń na piśmie lub ustnie. Ustnego zgłoszenia można </w:t>
      </w:r>
      <w:r>
        <w:rPr>
          <w:color w:val="000000"/>
        </w:rPr>
        <w:t>dokonywać telefonicznie lub za pośrednictwem innych systemów komunikacji głosowej, a na wniosek osoby dokonującej zgłoszenia - za pomocą bezpośredniego spotkania zorganizowanego w rozsądnym terminie.</w:t>
      </w:r>
    </w:p>
    <w:p w:rsidR="00DF1EB6" w:rsidRDefault="002F1DC5">
      <w:pPr>
        <w:spacing w:before="26" w:after="0"/>
      </w:pPr>
      <w:r>
        <w:rPr>
          <w:color w:val="000000"/>
        </w:rPr>
        <w:lastRenderedPageBreak/>
        <w:t>3. Właściwe organy zapewniają, aby w przypadku gdy zgłos</w:t>
      </w:r>
      <w:r>
        <w:rPr>
          <w:color w:val="000000"/>
        </w:rPr>
        <w:t>zenie otrzymano za pośrednictwem innych kanałów dokonywania zgłoszeń niż te, o których mowa w ust. 1 i 2, lub gdy otrzymali je członkowie personelu, którzy nie są odpowiedzialni za rozpatrywanie zgłoszeń, członkowie personelu, którzy je otrzymali, mieli za</w:t>
      </w:r>
      <w:r>
        <w:rPr>
          <w:color w:val="000000"/>
        </w:rPr>
        <w:t>kaz ujawniania jakichkolwiek informacji mogących skutkować ustaleniem tożsamości osoby dokonującej zgłoszenia lub osoby, której dotyczy zgłoszenie, i byli zobowiązani do niezwłocznego przekazania zgłoszenia, bez wprowadzania do niego zmian, członkom person</w:t>
      </w:r>
      <w:r>
        <w:rPr>
          <w:color w:val="000000"/>
        </w:rPr>
        <w:t>elu odpowiedzialnym za rozpatrywanie zgłoszeń.</w:t>
      </w:r>
    </w:p>
    <w:p w:rsidR="00DF1EB6" w:rsidRDefault="002F1DC5">
      <w:pPr>
        <w:spacing w:before="26" w:after="0"/>
      </w:pPr>
      <w:r>
        <w:rPr>
          <w:color w:val="000000"/>
        </w:rPr>
        <w:t>4. Państwa członkowskie zapewniają, aby właściwe organy wyznaczyły członków personelu odpowiedzialnych za rozpatrywanie zgłoszeń, a w szczególności odpowiedzialnych za:</w:t>
      </w:r>
    </w:p>
    <w:p w:rsidR="00DF1EB6" w:rsidRDefault="002F1DC5">
      <w:pPr>
        <w:spacing w:after="0"/>
        <w:ind w:left="373"/>
      </w:pPr>
      <w:r>
        <w:rPr>
          <w:color w:val="000000"/>
        </w:rPr>
        <w:t>a) przekazywanie wszystkim zainteresowan</w:t>
      </w:r>
      <w:r>
        <w:rPr>
          <w:color w:val="000000"/>
        </w:rPr>
        <w:t>ym osobom informacji na temat procedur dokonywania zgłoszeń;</w:t>
      </w:r>
    </w:p>
    <w:p w:rsidR="00DF1EB6" w:rsidRDefault="002F1DC5">
      <w:pPr>
        <w:spacing w:after="0"/>
        <w:ind w:left="373"/>
      </w:pPr>
      <w:r>
        <w:rPr>
          <w:color w:val="000000"/>
        </w:rPr>
        <w:t>b) przyjmowanie zgłoszeń i podejmowanie działań następczych w związku z tymi zgłoszeniami;</w:t>
      </w:r>
    </w:p>
    <w:p w:rsidR="00DF1EB6" w:rsidRDefault="002F1DC5">
      <w:pPr>
        <w:spacing w:after="0"/>
        <w:ind w:left="373"/>
      </w:pPr>
      <w:r>
        <w:rPr>
          <w:color w:val="000000"/>
        </w:rPr>
        <w:t xml:space="preserve">c) utrzymywanie kontaktu z osobą dokonującą zgłoszenia w celu przekazywania jej informacji zwrotnych i </w:t>
      </w:r>
      <w:r>
        <w:rPr>
          <w:color w:val="000000"/>
        </w:rPr>
        <w:t>zwracania się, w razie potrzeby, o dalsze informacje.</w:t>
      </w:r>
    </w:p>
    <w:p w:rsidR="00DF1EB6" w:rsidRDefault="002F1DC5">
      <w:pPr>
        <w:spacing w:before="26" w:after="0"/>
      </w:pPr>
      <w:r>
        <w:rPr>
          <w:color w:val="000000"/>
        </w:rPr>
        <w:t>5. Członkowie personelu, o których mowa w ust. 4, przechodzą specjalne szkolenie z zakresu rozpatrywania zgłoszeń.</w:t>
      </w:r>
    </w:p>
    <w:p w:rsidR="00DF1EB6" w:rsidRDefault="00DF1EB6">
      <w:pPr>
        <w:spacing w:before="80" w:after="0"/>
      </w:pPr>
    </w:p>
    <w:p w:rsidR="00DF1EB6" w:rsidRDefault="002F1DC5">
      <w:pPr>
        <w:spacing w:after="0"/>
      </w:pPr>
      <w:r>
        <w:rPr>
          <w:b/>
          <w:color w:val="000000"/>
        </w:rPr>
        <w:t>Artykuł  13</w:t>
      </w:r>
    </w:p>
    <w:p w:rsidR="00DF1EB6" w:rsidRDefault="002F1DC5">
      <w:pPr>
        <w:spacing w:after="0"/>
      </w:pPr>
      <w:r>
        <w:rPr>
          <w:b/>
          <w:color w:val="000000"/>
        </w:rPr>
        <w:t>Informacje dotyczące przyjmowania zgłoszeń oraz podejmowania działań nastę</w:t>
      </w:r>
      <w:r>
        <w:rPr>
          <w:b/>
          <w:color w:val="000000"/>
        </w:rPr>
        <w:t>pczych w związku ze zgłoszeniami</w:t>
      </w:r>
    </w:p>
    <w:p w:rsidR="00DF1EB6" w:rsidRDefault="002F1DC5">
      <w:pPr>
        <w:spacing w:before="25" w:after="0"/>
        <w:jc w:val="both"/>
      </w:pPr>
      <w:r>
        <w:rPr>
          <w:color w:val="000000"/>
        </w:rPr>
        <w:t>Państwa członkowskie zapewniają, aby właściwe organy publikowały na swoich stronach internetowych w oddzielnej, łatwej do zidentyfikowania i łatwo dostępnej sekcji co najmniej następujące informacje:</w:t>
      </w:r>
    </w:p>
    <w:p w:rsidR="00DF1EB6" w:rsidRDefault="002F1DC5">
      <w:pPr>
        <w:spacing w:after="0"/>
        <w:ind w:left="373"/>
      </w:pPr>
      <w:r>
        <w:rPr>
          <w:color w:val="000000"/>
        </w:rPr>
        <w:t>a) warunki kwalifikowan</w:t>
      </w:r>
      <w:r>
        <w:rPr>
          <w:color w:val="000000"/>
        </w:rPr>
        <w:t>ia się do objęcia ochroną na mocy niniejszej dyrektywy;</w:t>
      </w:r>
    </w:p>
    <w:p w:rsidR="00DF1EB6" w:rsidRDefault="002F1DC5">
      <w:pPr>
        <w:spacing w:after="0"/>
        <w:ind w:left="373"/>
      </w:pPr>
      <w:r>
        <w:rPr>
          <w:color w:val="000000"/>
        </w:rPr>
        <w:t xml:space="preserve">b) dane kontaktowe zewnętrznych kanałów dokonywania zgłoszeń, o których mowa w art. 12, w szczególności adres pocztowy i elektroniczny oraz numery telefonów takich kanałów, ze wskazaniem, czy rozmowy </w:t>
      </w:r>
      <w:r>
        <w:rPr>
          <w:color w:val="000000"/>
        </w:rPr>
        <w:t>telefoniczne są nagrywane;</w:t>
      </w:r>
    </w:p>
    <w:p w:rsidR="00DF1EB6" w:rsidRDefault="002F1DC5">
      <w:pPr>
        <w:spacing w:after="0"/>
        <w:ind w:left="373"/>
      </w:pPr>
      <w:r>
        <w:rPr>
          <w:color w:val="000000"/>
        </w:rPr>
        <w:t>c) procedury mające zastosowanie w przypadku zgłaszania naruszeń, w tym informacje o tym, jaki może być wymagany przez właściwy organ sposób wyjaśnienia informacji będących przedmiotem zgłoszenia lub przedstawienia dodatkowych in</w:t>
      </w:r>
      <w:r>
        <w:rPr>
          <w:color w:val="000000"/>
        </w:rPr>
        <w:t>formacji, informacje o terminach na przekazanie informacji zwrotnych oraz o rodzaju i zawartości takich informacji;</w:t>
      </w:r>
    </w:p>
    <w:p w:rsidR="00DF1EB6" w:rsidRDefault="002F1DC5">
      <w:pPr>
        <w:spacing w:after="0"/>
        <w:ind w:left="373"/>
      </w:pPr>
      <w:r>
        <w:rPr>
          <w:color w:val="000000"/>
        </w:rPr>
        <w:t xml:space="preserve">d) zasady poufności mające zastosowanie do zgłoszeń, a w szczególności informacje związane z przetwarzaniem danych osobowych zgodnie z art. </w:t>
      </w:r>
      <w:r>
        <w:rPr>
          <w:color w:val="000000"/>
        </w:rPr>
        <w:t xml:space="preserve">17 niniejszej dyrektywy, </w:t>
      </w:r>
      <w:r>
        <w:rPr>
          <w:color w:val="1B1B1B"/>
        </w:rPr>
        <w:t>art. 5</w:t>
      </w:r>
      <w:r>
        <w:rPr>
          <w:color w:val="000000"/>
        </w:rPr>
        <w:t xml:space="preserve"> i </w:t>
      </w:r>
      <w:r>
        <w:rPr>
          <w:color w:val="1B1B1B"/>
        </w:rPr>
        <w:t>13</w:t>
      </w:r>
      <w:r>
        <w:rPr>
          <w:color w:val="000000"/>
        </w:rPr>
        <w:t xml:space="preserve"> rozporządzenia (UE) 2016/679, </w:t>
      </w:r>
      <w:r>
        <w:rPr>
          <w:color w:val="1B1B1B"/>
        </w:rPr>
        <w:t>art. 13</w:t>
      </w:r>
      <w:r>
        <w:rPr>
          <w:color w:val="000000"/>
        </w:rPr>
        <w:t xml:space="preserve"> dyrektywy (UE) 2016/680 i </w:t>
      </w:r>
      <w:r>
        <w:rPr>
          <w:color w:val="1B1B1B"/>
        </w:rPr>
        <w:t>art. 15</w:t>
      </w:r>
      <w:r>
        <w:rPr>
          <w:color w:val="000000"/>
        </w:rPr>
        <w:t xml:space="preserve"> rozporządzenia (UE) 2018/1725 - w zależności od przypadku;</w:t>
      </w:r>
    </w:p>
    <w:p w:rsidR="00DF1EB6" w:rsidRDefault="002F1DC5">
      <w:pPr>
        <w:spacing w:after="0"/>
        <w:ind w:left="373"/>
      </w:pPr>
      <w:r>
        <w:rPr>
          <w:color w:val="000000"/>
        </w:rPr>
        <w:t>e) charakter działań następczych, jakie należy podjąć w związku ze zgłoszeniem;</w:t>
      </w:r>
    </w:p>
    <w:p w:rsidR="00DF1EB6" w:rsidRDefault="002F1DC5">
      <w:pPr>
        <w:spacing w:after="0"/>
        <w:ind w:left="373"/>
      </w:pPr>
      <w:r>
        <w:rPr>
          <w:color w:val="000000"/>
        </w:rPr>
        <w:t>f) środk</w:t>
      </w:r>
      <w:r>
        <w:rPr>
          <w:color w:val="000000"/>
        </w:rPr>
        <w:t>i ochrony prawnej i procedury służące ochronie przed działaniami odwetowymi oraz dostępność poufnej porady dla osób rozważających dokonanie zgłoszenia;</w:t>
      </w:r>
    </w:p>
    <w:p w:rsidR="00DF1EB6" w:rsidRDefault="002F1DC5">
      <w:pPr>
        <w:spacing w:after="0"/>
        <w:ind w:left="373"/>
      </w:pPr>
      <w:r>
        <w:rPr>
          <w:color w:val="000000"/>
        </w:rPr>
        <w:lastRenderedPageBreak/>
        <w:t>g) oświadczenie, w którym objaśnia się w sposób zrozumiały warunki, na jakich osoby dokonujące zgłoszeni</w:t>
      </w:r>
      <w:r>
        <w:rPr>
          <w:color w:val="000000"/>
        </w:rPr>
        <w:t>a są chronione przed ponoszeniem odpowiedzialności za naruszenie poufności zgodnie z art. 21 ust. 2; oraz</w:t>
      </w:r>
    </w:p>
    <w:p w:rsidR="00DF1EB6" w:rsidRDefault="002F1DC5">
      <w:pPr>
        <w:spacing w:after="0"/>
        <w:ind w:left="373"/>
      </w:pPr>
      <w:r>
        <w:rPr>
          <w:color w:val="000000"/>
        </w:rPr>
        <w:t xml:space="preserve">h) w stosownych przypadkach dane kontaktowe </w:t>
      </w:r>
      <w:proofErr w:type="spellStart"/>
      <w:r>
        <w:rPr>
          <w:color w:val="000000"/>
        </w:rPr>
        <w:t>centrum</w:t>
      </w:r>
      <w:proofErr w:type="spellEnd"/>
      <w:r>
        <w:rPr>
          <w:color w:val="000000"/>
        </w:rPr>
        <w:t xml:space="preserve"> informacyjnego lub jednego niezależnego organu administracyjnego, o którym mowa w art. 20 ust. 3.</w:t>
      </w:r>
    </w:p>
    <w:p w:rsidR="00DF1EB6" w:rsidRDefault="00DF1EB6">
      <w:pPr>
        <w:spacing w:before="80" w:after="0"/>
      </w:pPr>
    </w:p>
    <w:p w:rsidR="00DF1EB6" w:rsidRDefault="002F1DC5">
      <w:pPr>
        <w:spacing w:after="0"/>
      </w:pPr>
      <w:r>
        <w:rPr>
          <w:b/>
          <w:color w:val="000000"/>
        </w:rPr>
        <w:t>Artykuł  14</w:t>
      </w:r>
    </w:p>
    <w:p w:rsidR="00DF1EB6" w:rsidRDefault="002F1DC5">
      <w:pPr>
        <w:spacing w:after="0"/>
      </w:pPr>
      <w:r>
        <w:rPr>
          <w:b/>
          <w:color w:val="000000"/>
        </w:rPr>
        <w:t>Przegląd procedur dokonywany przez właściwe organy</w:t>
      </w:r>
    </w:p>
    <w:p w:rsidR="00DF1EB6" w:rsidRDefault="002F1DC5">
      <w:pPr>
        <w:spacing w:before="25" w:after="0"/>
        <w:jc w:val="both"/>
      </w:pPr>
      <w:r>
        <w:rPr>
          <w:color w:val="000000"/>
        </w:rPr>
        <w:t>Państwa członkowskie zapewniają, aby właściwe organy regularnie, a przynajmniej raz na trzy lata, dokonywały przeglądu procedur przyjmowania zgłoszeń oraz podejmowania działań następczych w zw</w:t>
      </w:r>
      <w:r>
        <w:rPr>
          <w:color w:val="000000"/>
        </w:rPr>
        <w:t>iązku z tymi zgłoszeniami. Dokonując przeglądu takich procedur, właściwe organy uwzględniają swoje doświadczenie, jak również doświadczenie innych właściwych organów i odpowiednio dostosowują swoje procedury.</w:t>
      </w:r>
    </w:p>
    <w:p w:rsidR="00DF1EB6" w:rsidRDefault="00DF1EB6">
      <w:pPr>
        <w:spacing w:after="0"/>
      </w:pPr>
    </w:p>
    <w:p w:rsidR="00DF1EB6" w:rsidRDefault="002F1DC5">
      <w:pPr>
        <w:spacing w:before="89" w:after="0"/>
        <w:jc w:val="center"/>
      </w:pPr>
      <w:r>
        <w:rPr>
          <w:b/>
          <w:color w:val="000000"/>
        </w:rPr>
        <w:t>ROZDZIAŁ  IV</w:t>
      </w:r>
    </w:p>
    <w:p w:rsidR="00DF1EB6" w:rsidRDefault="002F1DC5">
      <w:pPr>
        <w:spacing w:before="25" w:after="0"/>
        <w:jc w:val="center"/>
      </w:pPr>
      <w:r>
        <w:rPr>
          <w:b/>
          <w:color w:val="000000"/>
        </w:rPr>
        <w:t>UJAWNIANIE PUBLICZNE</w:t>
      </w:r>
    </w:p>
    <w:p w:rsidR="00DF1EB6" w:rsidRDefault="00DF1EB6">
      <w:pPr>
        <w:spacing w:before="80" w:after="0"/>
      </w:pPr>
    </w:p>
    <w:p w:rsidR="00DF1EB6" w:rsidRDefault="002F1DC5">
      <w:pPr>
        <w:spacing w:after="0"/>
      </w:pPr>
      <w:r>
        <w:rPr>
          <w:b/>
          <w:color w:val="000000"/>
        </w:rPr>
        <w:t>Artykuł  15</w:t>
      </w:r>
    </w:p>
    <w:p w:rsidR="00DF1EB6" w:rsidRDefault="002F1DC5">
      <w:pPr>
        <w:spacing w:after="0"/>
      </w:pPr>
      <w:r>
        <w:rPr>
          <w:b/>
          <w:color w:val="000000"/>
        </w:rPr>
        <w:t>Ujawnianie publiczne</w:t>
      </w:r>
    </w:p>
    <w:p w:rsidR="00DF1EB6" w:rsidRDefault="002F1DC5">
      <w:pPr>
        <w:spacing w:before="26" w:after="0"/>
      </w:pPr>
      <w:r>
        <w:rPr>
          <w:color w:val="000000"/>
        </w:rPr>
        <w:t>1. Osoba, która dokonuje ujawnienia publicznego, kwalifikuje się do objęcia ochroną na mocy niniejszej dyrektywy, jeżeli spełniony jest którykolwiek z następujących warunków:</w:t>
      </w:r>
    </w:p>
    <w:p w:rsidR="00DF1EB6" w:rsidRDefault="002F1DC5">
      <w:pPr>
        <w:spacing w:after="0"/>
        <w:ind w:left="373"/>
      </w:pPr>
      <w:r>
        <w:rPr>
          <w:color w:val="000000"/>
        </w:rPr>
        <w:t xml:space="preserve">a) osoba ta dokonała w pierwszej kolejności zgłoszenia </w:t>
      </w:r>
      <w:r>
        <w:rPr>
          <w:color w:val="000000"/>
        </w:rPr>
        <w:t>wewnętrznego i zewnętrznego lub od razu zgłoszenia zewnętrznego zgodnie z rozdziałami II i III, ale w odpowiedzi na jej zgłoszenie nie zostały podjęte żadne odpowiednie działania w terminie, o którym mowa w art. 9 ust. 1 lit. f) lub art. 11 ust. 2 lit. d);</w:t>
      </w:r>
      <w:r>
        <w:rPr>
          <w:color w:val="000000"/>
        </w:rPr>
        <w:t xml:space="preserve"> lub</w:t>
      </w:r>
    </w:p>
    <w:p w:rsidR="00DF1EB6" w:rsidRDefault="002F1DC5">
      <w:pPr>
        <w:spacing w:after="0"/>
        <w:ind w:left="373"/>
      </w:pPr>
      <w:r>
        <w:rPr>
          <w:color w:val="000000"/>
        </w:rPr>
        <w:t>b) osoba ta ma uzasadnione podstawy, by sądzić, że:</w:t>
      </w:r>
    </w:p>
    <w:p w:rsidR="00DF1EB6" w:rsidRDefault="002F1DC5">
      <w:pPr>
        <w:spacing w:before="26" w:after="0"/>
        <w:ind w:left="746"/>
      </w:pPr>
      <w:r>
        <w:rPr>
          <w:color w:val="000000"/>
        </w:rPr>
        <w:t>(i) naruszenie może stanowić bezpośrednie lub oczywiste zagrożenie dla interesu publicznego, na przykład w przypadku sytuacji wyjątkowej lub ryzyka wystąpienia nieodwracalnej szkody; lub</w:t>
      </w:r>
    </w:p>
    <w:p w:rsidR="00DF1EB6" w:rsidRDefault="002F1DC5">
      <w:pPr>
        <w:spacing w:before="26" w:after="0"/>
        <w:ind w:left="746"/>
      </w:pPr>
      <w:r>
        <w:rPr>
          <w:color w:val="000000"/>
        </w:rPr>
        <w:t>(ii) w przyp</w:t>
      </w:r>
      <w:r>
        <w:rPr>
          <w:color w:val="000000"/>
        </w:rPr>
        <w:t>adku dokonania zgłoszenia zewnętrznego grozić jej będą działania odwetowe lub istnieje niewielkie prawdopodobieństwo skutecznego zaradzenia naruszeniu z uwagi na szczególne okoliczności sprawy, takie jak możliwość ukrycia lub zniszczenia dowodów lub możliw</w:t>
      </w:r>
      <w:r>
        <w:rPr>
          <w:color w:val="000000"/>
        </w:rPr>
        <w:t>ość istnienia zmowy między organem a sprawcą naruszenia lub udziału organu w naruszeniu.</w:t>
      </w:r>
    </w:p>
    <w:p w:rsidR="00DF1EB6" w:rsidRDefault="002F1DC5">
      <w:pPr>
        <w:spacing w:before="26" w:after="0"/>
      </w:pPr>
      <w:r>
        <w:rPr>
          <w:color w:val="000000"/>
        </w:rPr>
        <w:t>2. Niniejszego artykułu nie stosuje się w przypadku, gdy dana osoba ujawnia informacje bezpośrednio do prasy zgodnie ze szczególnymi przepisami krajowymi ustanawiający</w:t>
      </w:r>
      <w:r>
        <w:rPr>
          <w:color w:val="000000"/>
        </w:rPr>
        <w:t>mi system ochrony w związku z wolnością wypowiedzi i informacji.</w:t>
      </w:r>
    </w:p>
    <w:p w:rsidR="00DF1EB6" w:rsidRDefault="00DF1EB6">
      <w:pPr>
        <w:spacing w:after="0"/>
      </w:pPr>
    </w:p>
    <w:p w:rsidR="00DF1EB6" w:rsidRDefault="002F1DC5">
      <w:pPr>
        <w:spacing w:before="89" w:after="0"/>
        <w:jc w:val="center"/>
      </w:pPr>
      <w:r>
        <w:rPr>
          <w:b/>
          <w:color w:val="000000"/>
        </w:rPr>
        <w:t>ROZDZIAŁ  V</w:t>
      </w:r>
    </w:p>
    <w:p w:rsidR="00DF1EB6" w:rsidRDefault="002F1DC5">
      <w:pPr>
        <w:spacing w:before="25" w:after="0"/>
        <w:jc w:val="center"/>
      </w:pPr>
      <w:r>
        <w:rPr>
          <w:b/>
          <w:color w:val="000000"/>
        </w:rPr>
        <w:t>PRZEPISY MAJĄCE ZASTOSOWANIE DO ZGŁOSZEŃ WEWNĘTRZNYCH I ZEWNĘTRZNYCH</w:t>
      </w:r>
    </w:p>
    <w:p w:rsidR="00DF1EB6" w:rsidRDefault="00DF1EB6">
      <w:pPr>
        <w:spacing w:before="80" w:after="0"/>
      </w:pPr>
    </w:p>
    <w:p w:rsidR="00DF1EB6" w:rsidRDefault="002F1DC5">
      <w:pPr>
        <w:spacing w:after="0"/>
      </w:pPr>
      <w:r>
        <w:rPr>
          <w:b/>
          <w:color w:val="000000"/>
        </w:rPr>
        <w:lastRenderedPageBreak/>
        <w:t>Artykuł  16</w:t>
      </w:r>
    </w:p>
    <w:p w:rsidR="00DF1EB6" w:rsidRDefault="002F1DC5">
      <w:pPr>
        <w:spacing w:after="0"/>
      </w:pPr>
      <w:r>
        <w:rPr>
          <w:b/>
          <w:color w:val="000000"/>
        </w:rPr>
        <w:t>Obowiązek zachowania poufności</w:t>
      </w:r>
    </w:p>
    <w:p w:rsidR="00DF1EB6" w:rsidRDefault="002F1DC5">
      <w:pPr>
        <w:spacing w:before="26" w:after="0"/>
      </w:pPr>
      <w:r>
        <w:rPr>
          <w:color w:val="000000"/>
        </w:rPr>
        <w:t>1. Państwa członkowskie zapewniają, by tożsamość osoby dokonujące</w:t>
      </w:r>
      <w:r>
        <w:rPr>
          <w:color w:val="000000"/>
        </w:rPr>
        <w:t>j zgłoszenia nie została ujawniona - bez wyraźnej zgody tej osoby - żadnej osobie, która nie jest upoważnionym członkiem personelu właściwym do przyjmowania zgłoszeń i podejmowania w związku z nimi działań następczych. Ma to również zastosowanie do wszelki</w:t>
      </w:r>
      <w:r>
        <w:rPr>
          <w:color w:val="000000"/>
        </w:rPr>
        <w:t>ch innych informacji, na podstawie których można bezpośrednio lub pośrednio zidentyfikować tożsamość osoby dokonującej zgłoszenia.</w:t>
      </w:r>
    </w:p>
    <w:p w:rsidR="00DF1EB6" w:rsidRDefault="002F1DC5">
      <w:pPr>
        <w:spacing w:before="26" w:after="0"/>
      </w:pPr>
      <w:r>
        <w:rPr>
          <w:color w:val="000000"/>
        </w:rPr>
        <w:t>2. W drodze odstępstwa od ust. 1, tożsamość osoby dokonującej zgłoszenia i wszelkie inne informacje, o których mowa w ust. 1,</w:t>
      </w:r>
      <w:r>
        <w:rPr>
          <w:color w:val="000000"/>
        </w:rPr>
        <w:t xml:space="preserve"> mogą zostać ujawnione jedynie wtedy, gdy takie ujawnienie jest koniecznym i proporcjonalnym obowiązkiem wynikającym z prawa Unii lub prawa krajowego w kontekście prowadzonych przez organy krajowe postępowań wyjaśniających lub postępowań sądowych, w tym w </w:t>
      </w:r>
      <w:r>
        <w:rPr>
          <w:color w:val="000000"/>
        </w:rPr>
        <w:t>celu zagwarantowania prawa do obrony przysługującego osobie, której dotyczy zgłoszenie.</w:t>
      </w:r>
    </w:p>
    <w:p w:rsidR="00DF1EB6" w:rsidRDefault="002F1DC5">
      <w:pPr>
        <w:spacing w:before="26" w:after="0"/>
      </w:pPr>
      <w:r>
        <w:rPr>
          <w:color w:val="000000"/>
        </w:rPr>
        <w:t>3. Ujawnianie dokonane zgodnie z odstępstwem przewidzianym w ust. 2, jest objęte odpowiednimi zabezpieczeniami zgodnie z obowiązującymi przepisami unijnymi i krajowymi.</w:t>
      </w:r>
      <w:r>
        <w:rPr>
          <w:color w:val="000000"/>
        </w:rPr>
        <w:t xml:space="preserve"> W szczególności zanim tożsamość osób dokonujących zgłoszenia zostanie ujawniona, muszą one zostać o tym powiadomione, chyba że takie powiadomienie mogłoby zagrozić powiązanemu postępowaniu wyjaśniającemu lub postępowaniu sądowemu. Powiadamiając osoby doko</w:t>
      </w:r>
      <w:r>
        <w:rPr>
          <w:color w:val="000000"/>
        </w:rPr>
        <w:t>nujące zgłoszenia, właściwy organ przesyła im pisemne wyjaśnienie powodów ujawnienia odnośnych poufnych danych.</w:t>
      </w:r>
    </w:p>
    <w:p w:rsidR="00DF1EB6" w:rsidRDefault="002F1DC5">
      <w:pPr>
        <w:spacing w:before="26" w:after="0"/>
      </w:pPr>
      <w:r>
        <w:rPr>
          <w:color w:val="000000"/>
        </w:rPr>
        <w:t>4. Państwa członkowskie zapewniają, aby właściwe organy otrzymujące informacje na temat naruszeń, które zawierają tajemnice przedsiębiorstwa, ni</w:t>
      </w:r>
      <w:r>
        <w:rPr>
          <w:color w:val="000000"/>
        </w:rPr>
        <w:t>e wykorzystywały ani nie ujawniały tych tajemnic przedsiębiorstwa do celów wykraczających poza to, co jest niezbędnie do podejmowania odpowiednich działań następczych.</w:t>
      </w:r>
    </w:p>
    <w:p w:rsidR="00DF1EB6" w:rsidRDefault="00DF1EB6">
      <w:pPr>
        <w:spacing w:before="80" w:after="0"/>
      </w:pPr>
    </w:p>
    <w:p w:rsidR="00DF1EB6" w:rsidRDefault="002F1DC5">
      <w:pPr>
        <w:spacing w:after="0"/>
      </w:pPr>
      <w:r>
        <w:rPr>
          <w:b/>
          <w:color w:val="000000"/>
        </w:rPr>
        <w:t>Artykuł  17</w:t>
      </w:r>
    </w:p>
    <w:p w:rsidR="00DF1EB6" w:rsidRDefault="002F1DC5">
      <w:pPr>
        <w:spacing w:after="0"/>
      </w:pPr>
      <w:r>
        <w:rPr>
          <w:b/>
          <w:color w:val="000000"/>
        </w:rPr>
        <w:t>Przetwarzanie danych osobowych</w:t>
      </w:r>
    </w:p>
    <w:p w:rsidR="00DF1EB6" w:rsidRDefault="002F1DC5">
      <w:pPr>
        <w:spacing w:before="25" w:after="0"/>
        <w:jc w:val="both"/>
      </w:pPr>
      <w:r>
        <w:rPr>
          <w:color w:val="000000"/>
        </w:rPr>
        <w:t>Przetwarzania danych osobowych zgodnie z nin</w:t>
      </w:r>
      <w:r>
        <w:rPr>
          <w:color w:val="000000"/>
        </w:rPr>
        <w:t xml:space="preserve">iejszą dyrektywą, w tym wymiany lub przekazywania danych osobowych przez właściwe organy, dokonuje się zgodnie z </w:t>
      </w:r>
      <w:r>
        <w:rPr>
          <w:color w:val="1B1B1B"/>
        </w:rPr>
        <w:t>rozporządzeniem</w:t>
      </w:r>
      <w:r>
        <w:rPr>
          <w:color w:val="000000"/>
        </w:rPr>
        <w:t xml:space="preserve"> (UE) 2016/679 i </w:t>
      </w:r>
      <w:r>
        <w:rPr>
          <w:color w:val="1B1B1B"/>
        </w:rPr>
        <w:t>dyrektywą</w:t>
      </w:r>
      <w:r>
        <w:rPr>
          <w:color w:val="000000"/>
        </w:rPr>
        <w:t xml:space="preserve"> (UE) 2016/680. Wymiany i przekazywania informacji przez instytucje, organy lub jednostki organizacyjn</w:t>
      </w:r>
      <w:r>
        <w:rPr>
          <w:color w:val="000000"/>
        </w:rPr>
        <w:t xml:space="preserve">e Unii dokonuje się zgodnie z </w:t>
      </w:r>
      <w:r>
        <w:rPr>
          <w:color w:val="1B1B1B"/>
        </w:rPr>
        <w:t>rozporządzeniem</w:t>
      </w:r>
      <w:r>
        <w:rPr>
          <w:color w:val="000000"/>
        </w:rPr>
        <w:t xml:space="preserve"> (UE) 2018/1725.</w:t>
      </w:r>
    </w:p>
    <w:p w:rsidR="00DF1EB6" w:rsidRDefault="002F1DC5">
      <w:pPr>
        <w:spacing w:before="25" w:after="0"/>
        <w:jc w:val="both"/>
      </w:pPr>
      <w:r>
        <w:rPr>
          <w:color w:val="000000"/>
        </w:rPr>
        <w:t>Dane osobowe, które w sposób oczywisty nie mają znaczenia dla rozpatrywania konkretnego zgłoszenia, nie są zbierane, a w razie przypadkowego zebrania, są usuwane bez zbędnej zwłoki.</w:t>
      </w:r>
    </w:p>
    <w:p w:rsidR="00DF1EB6" w:rsidRDefault="00DF1EB6">
      <w:pPr>
        <w:spacing w:before="80" w:after="0"/>
      </w:pPr>
    </w:p>
    <w:p w:rsidR="00DF1EB6" w:rsidRDefault="002F1DC5">
      <w:pPr>
        <w:spacing w:after="0"/>
      </w:pPr>
      <w:r>
        <w:rPr>
          <w:b/>
          <w:color w:val="000000"/>
        </w:rPr>
        <w:t>Artykuł  18</w:t>
      </w:r>
    </w:p>
    <w:p w:rsidR="00DF1EB6" w:rsidRDefault="002F1DC5">
      <w:pPr>
        <w:spacing w:after="0"/>
      </w:pPr>
      <w:r>
        <w:rPr>
          <w:b/>
          <w:color w:val="000000"/>
        </w:rPr>
        <w:t>Prowadzenie rejestrów zgłoszeń</w:t>
      </w:r>
    </w:p>
    <w:p w:rsidR="00DF1EB6" w:rsidRDefault="002F1DC5">
      <w:pPr>
        <w:spacing w:before="26" w:after="0"/>
      </w:pPr>
      <w:r>
        <w:rPr>
          <w:color w:val="000000"/>
        </w:rPr>
        <w:t xml:space="preserve">1. Państwa członkowskie zapewniają, aby podmioty prawne w sektorze prywatnym i publicznym oraz właściwe organy prowadziły rejestr wszystkich przyjętych zgłoszeń, zgodnie z wymogami w zakresie poufności przewidzianymi w art. </w:t>
      </w:r>
      <w:r>
        <w:rPr>
          <w:color w:val="000000"/>
        </w:rPr>
        <w:t xml:space="preserve">16. Zgłoszenia przechowuje się nie dłużej, niż jest to konieczne i proporcjonalne, aby zapewnić zgodność z </w:t>
      </w:r>
      <w:r>
        <w:rPr>
          <w:color w:val="000000"/>
        </w:rPr>
        <w:lastRenderedPageBreak/>
        <w:t>wymogami ustanowionymi w niniejszej dyrektywie lub innymi wymogami ustanowionymi w prawie unijnym lub krajowym.</w:t>
      </w:r>
    </w:p>
    <w:p w:rsidR="00DF1EB6" w:rsidRDefault="002F1DC5">
      <w:pPr>
        <w:spacing w:before="26" w:after="0"/>
      </w:pPr>
      <w:r>
        <w:rPr>
          <w:color w:val="000000"/>
        </w:rPr>
        <w:t xml:space="preserve">2. Jeżeli zgłoszenie dokonywane jest </w:t>
      </w:r>
      <w:r>
        <w:rPr>
          <w:color w:val="000000"/>
        </w:rPr>
        <w:t xml:space="preserve">za pośrednictwem nagrywanej linii telefonicznej lub innego nagrywanego systemu komunikacji głosowej, podmioty prawne w sektorze prywatnym i publicznym oraz właściwe organy mają prawo, za zgodą osoby dokonującej zgłoszenia, udokumentować zgłoszenie ustne w </w:t>
      </w:r>
      <w:r>
        <w:rPr>
          <w:color w:val="000000"/>
        </w:rPr>
        <w:t>jeden z następujących sposobów:</w:t>
      </w:r>
    </w:p>
    <w:p w:rsidR="00DF1EB6" w:rsidRDefault="002F1DC5">
      <w:pPr>
        <w:spacing w:after="0"/>
        <w:ind w:left="373"/>
      </w:pPr>
      <w:r>
        <w:rPr>
          <w:color w:val="000000"/>
        </w:rPr>
        <w:t>a) dokonując nagrania rozmowy w formie trwałej i możliwej do wyszukania; lub</w:t>
      </w:r>
    </w:p>
    <w:p w:rsidR="00DF1EB6" w:rsidRDefault="002F1DC5">
      <w:pPr>
        <w:spacing w:after="0"/>
        <w:ind w:left="373"/>
      </w:pPr>
      <w:r>
        <w:rPr>
          <w:color w:val="000000"/>
        </w:rPr>
        <w:t>b) za pomocą kompletnej i dokładnej transkrypcji rozmowy przygotowanej przez członków personelu odpowiedzialnych za rozpatrzenie zgłoszenia.</w:t>
      </w:r>
    </w:p>
    <w:p w:rsidR="00DF1EB6" w:rsidRDefault="002F1DC5">
      <w:pPr>
        <w:spacing w:before="25" w:after="0"/>
        <w:jc w:val="both"/>
      </w:pPr>
      <w:r>
        <w:rPr>
          <w:color w:val="000000"/>
        </w:rPr>
        <w:t>Podmio</w:t>
      </w:r>
      <w:r>
        <w:rPr>
          <w:color w:val="000000"/>
        </w:rPr>
        <w:t>ty prawne w sektorze prywatnym i publicznym oraz właściwe organy zapewniają osobie dokonującej zgłoszenia możliwość sprawdzenia, poprawienia i zatwierdzenia transkrypcji rozmowy telefonicznej poprzez jej podpisanie.</w:t>
      </w:r>
    </w:p>
    <w:p w:rsidR="00DF1EB6" w:rsidRDefault="002F1DC5">
      <w:pPr>
        <w:spacing w:before="26" w:after="0"/>
      </w:pPr>
      <w:r>
        <w:rPr>
          <w:color w:val="000000"/>
        </w:rPr>
        <w:t xml:space="preserve">3. Jeżeli zgłoszenie dokonywane jest za </w:t>
      </w:r>
      <w:r>
        <w:rPr>
          <w:color w:val="000000"/>
        </w:rPr>
        <w:t>pośrednictwem nienagrywanej linii telefonicznej lub innego nienagrywanego systemu komunikacji głosowej, podmioty prawne w sektorze prywatnym i publicznym oraz właściwe organy mają prawo udokumentować zgłoszenie ustne w formie dokładnego protokołu rozmowy s</w:t>
      </w:r>
      <w:r>
        <w:rPr>
          <w:color w:val="000000"/>
        </w:rPr>
        <w:t>porządzonego przez członka personelu odpowiedzialnego za rozpatrzenie zgłoszenia. Podmioty prawne w sektorze prywatnym i publicznym oraz właściwe organy zapewniają osobie dokonującej zgłoszenia możliwość sprawdzenia, poprawienia i zatwierdzenia protokołu r</w:t>
      </w:r>
      <w:r>
        <w:rPr>
          <w:color w:val="000000"/>
        </w:rPr>
        <w:t>ozmowy poprzez jego podpisanie.</w:t>
      </w:r>
    </w:p>
    <w:p w:rsidR="00DF1EB6" w:rsidRDefault="002F1DC5">
      <w:pPr>
        <w:spacing w:before="26" w:after="0"/>
      </w:pPr>
      <w:r>
        <w:rPr>
          <w:color w:val="000000"/>
        </w:rPr>
        <w:t>4. Jeżeli dana osoba zwróci się o spotkanie z członkami personelu podmiotów prawnych w sektorze prywatnym i publicznym oraz właściwych organów w celu dokonania zgłoszenia zgodnie z art. 9 ust. 2 i art. 12 ust. 2, podmioty pr</w:t>
      </w:r>
      <w:r>
        <w:rPr>
          <w:color w:val="000000"/>
        </w:rPr>
        <w:t>awne w sektorze prywatnym i publicznym oraz właściwe organy zapewniają, za zgodą osoby zgłaszającej, przechowywanie kompletnych i dokładnych zapisów ze spotkania w formie trwałej i możliwej do wyszukania.</w:t>
      </w:r>
    </w:p>
    <w:p w:rsidR="00DF1EB6" w:rsidRDefault="002F1DC5">
      <w:pPr>
        <w:spacing w:before="25" w:after="0"/>
        <w:jc w:val="both"/>
      </w:pPr>
      <w:r>
        <w:rPr>
          <w:color w:val="000000"/>
        </w:rPr>
        <w:t>Podmioty prawne w sektorze prywatnym i publicznym o</w:t>
      </w:r>
      <w:r>
        <w:rPr>
          <w:color w:val="000000"/>
        </w:rPr>
        <w:t>raz właściwe organy mają prawo udokumentować spotkanie w jeden z następujących sposobów:</w:t>
      </w:r>
    </w:p>
    <w:p w:rsidR="00DF1EB6" w:rsidRDefault="002F1DC5">
      <w:pPr>
        <w:spacing w:after="0"/>
        <w:ind w:left="373"/>
      </w:pPr>
      <w:r>
        <w:rPr>
          <w:color w:val="000000"/>
        </w:rPr>
        <w:t>a) dokonując nagrania rozmowy w formie trwałej i możliwej do wyszukania; lub</w:t>
      </w:r>
    </w:p>
    <w:p w:rsidR="00DF1EB6" w:rsidRDefault="002F1DC5">
      <w:pPr>
        <w:spacing w:after="0"/>
        <w:ind w:left="373"/>
      </w:pPr>
      <w:r>
        <w:rPr>
          <w:color w:val="000000"/>
        </w:rPr>
        <w:t>b) za pomocą dokładnego protokołu spotkania przygotowanego przez członków personelu właści</w:t>
      </w:r>
      <w:r>
        <w:rPr>
          <w:color w:val="000000"/>
        </w:rPr>
        <w:t>wego organu odpowiedzialnych za rozpatrywanie zgłoszeń.</w:t>
      </w:r>
    </w:p>
    <w:p w:rsidR="00DF1EB6" w:rsidRDefault="002F1DC5">
      <w:pPr>
        <w:spacing w:before="25" w:after="0"/>
        <w:jc w:val="both"/>
      </w:pPr>
      <w:r>
        <w:rPr>
          <w:color w:val="000000"/>
        </w:rPr>
        <w:t>Podmioty prawne w sektorze prywatnym i publicznym oraz właściwe organy zapewniają osobie dokonującej zgłoszenia możliwość sprawdzenia, poprawienia i zatwierdzenia protokołu spotkania poprzez jego podp</w:t>
      </w:r>
      <w:r>
        <w:rPr>
          <w:color w:val="000000"/>
        </w:rPr>
        <w:t>isanie.</w:t>
      </w:r>
    </w:p>
    <w:p w:rsidR="00DF1EB6" w:rsidRDefault="00DF1EB6">
      <w:pPr>
        <w:spacing w:after="0"/>
      </w:pPr>
    </w:p>
    <w:p w:rsidR="00DF1EB6" w:rsidRDefault="002F1DC5">
      <w:pPr>
        <w:spacing w:before="89" w:after="0"/>
        <w:jc w:val="center"/>
      </w:pPr>
      <w:r>
        <w:rPr>
          <w:b/>
          <w:color w:val="000000"/>
        </w:rPr>
        <w:t>ROZDZIAŁ  VI</w:t>
      </w:r>
    </w:p>
    <w:p w:rsidR="00DF1EB6" w:rsidRDefault="002F1DC5">
      <w:pPr>
        <w:spacing w:before="25" w:after="0"/>
        <w:jc w:val="center"/>
      </w:pPr>
      <w:r>
        <w:rPr>
          <w:b/>
          <w:color w:val="000000"/>
        </w:rPr>
        <w:t>ŚRODKI OCHRONY</w:t>
      </w:r>
    </w:p>
    <w:p w:rsidR="00DF1EB6" w:rsidRDefault="00DF1EB6">
      <w:pPr>
        <w:spacing w:before="80" w:after="0"/>
      </w:pPr>
    </w:p>
    <w:p w:rsidR="00DF1EB6" w:rsidRDefault="002F1DC5">
      <w:pPr>
        <w:spacing w:after="0"/>
      </w:pPr>
      <w:r>
        <w:rPr>
          <w:b/>
          <w:color w:val="000000"/>
        </w:rPr>
        <w:t>Artykuł  19</w:t>
      </w:r>
    </w:p>
    <w:p w:rsidR="00DF1EB6" w:rsidRDefault="002F1DC5">
      <w:pPr>
        <w:spacing w:after="0"/>
      </w:pPr>
      <w:r>
        <w:rPr>
          <w:b/>
          <w:color w:val="000000"/>
        </w:rPr>
        <w:t>Zakaz działań odwetowych</w:t>
      </w:r>
    </w:p>
    <w:p w:rsidR="00DF1EB6" w:rsidRDefault="002F1DC5">
      <w:pPr>
        <w:spacing w:before="25" w:after="0"/>
        <w:jc w:val="both"/>
      </w:pPr>
      <w:r>
        <w:rPr>
          <w:color w:val="000000"/>
        </w:rPr>
        <w:t>Państwa członkowskie podejmują niezbędne środki, aby zakazać wszelkich form działań odwetowych wobec osób, o których mowa w art. 4, w tym gróźb działań odwetowych i prób podejmowani</w:t>
      </w:r>
      <w:r>
        <w:rPr>
          <w:color w:val="000000"/>
        </w:rPr>
        <w:t>a działań odwetowych, w tym w szczególności działań odwetowych podejmowanych w następujących formach:</w:t>
      </w:r>
    </w:p>
    <w:p w:rsidR="00DF1EB6" w:rsidRDefault="002F1DC5">
      <w:pPr>
        <w:spacing w:after="0"/>
        <w:ind w:left="373"/>
      </w:pPr>
      <w:r>
        <w:rPr>
          <w:color w:val="000000"/>
        </w:rPr>
        <w:lastRenderedPageBreak/>
        <w:t>a) zawieszenia, przymusowego urlopu bezpłatnego, zwolnienia lub równoważnych środków;</w:t>
      </w:r>
    </w:p>
    <w:p w:rsidR="00DF1EB6" w:rsidRDefault="002F1DC5">
      <w:pPr>
        <w:spacing w:after="0"/>
        <w:ind w:left="373"/>
      </w:pPr>
      <w:r>
        <w:rPr>
          <w:color w:val="000000"/>
        </w:rPr>
        <w:t>b) degradacji lub wstrzymania awansu;</w:t>
      </w:r>
    </w:p>
    <w:p w:rsidR="00DF1EB6" w:rsidRDefault="002F1DC5">
      <w:pPr>
        <w:spacing w:after="0"/>
        <w:ind w:left="373"/>
      </w:pPr>
      <w:r>
        <w:rPr>
          <w:color w:val="000000"/>
        </w:rPr>
        <w:t xml:space="preserve">c) przekazania obowiązków, </w:t>
      </w:r>
      <w:r>
        <w:rPr>
          <w:color w:val="000000"/>
        </w:rPr>
        <w:t>zmiany miejsca pracy, obniżenia wynagrodzenia, zmiany godzin pracy;</w:t>
      </w:r>
    </w:p>
    <w:p w:rsidR="00DF1EB6" w:rsidRDefault="002F1DC5">
      <w:pPr>
        <w:spacing w:after="0"/>
        <w:ind w:left="373"/>
      </w:pPr>
      <w:r>
        <w:rPr>
          <w:color w:val="000000"/>
        </w:rPr>
        <w:t>d) wstrzymania szkoleń;</w:t>
      </w:r>
    </w:p>
    <w:p w:rsidR="00DF1EB6" w:rsidRDefault="002F1DC5">
      <w:pPr>
        <w:spacing w:after="0"/>
        <w:ind w:left="373"/>
      </w:pPr>
      <w:r>
        <w:rPr>
          <w:color w:val="000000"/>
        </w:rPr>
        <w:t>e) negatywnej oceny wyników lub negatywnej opinii o pracy;</w:t>
      </w:r>
    </w:p>
    <w:p w:rsidR="00DF1EB6" w:rsidRDefault="002F1DC5">
      <w:pPr>
        <w:spacing w:after="0"/>
        <w:ind w:left="373"/>
      </w:pPr>
      <w:r>
        <w:rPr>
          <w:color w:val="000000"/>
        </w:rPr>
        <w:t>f) nałożenia lub zastosowania jakiegokolwiek środka dyscyplinarnego, nagany lub innej kary, w tym finanso</w:t>
      </w:r>
      <w:r>
        <w:rPr>
          <w:color w:val="000000"/>
        </w:rPr>
        <w:t>wej;</w:t>
      </w:r>
    </w:p>
    <w:p w:rsidR="00DF1EB6" w:rsidRDefault="002F1DC5">
      <w:pPr>
        <w:spacing w:after="0"/>
        <w:ind w:left="373"/>
      </w:pPr>
      <w:r>
        <w:rPr>
          <w:color w:val="000000"/>
        </w:rPr>
        <w:t>g) przymusu, zastraszania, mobbingu lub wykluczenia;</w:t>
      </w:r>
    </w:p>
    <w:p w:rsidR="00DF1EB6" w:rsidRDefault="002F1DC5">
      <w:pPr>
        <w:spacing w:after="0"/>
        <w:ind w:left="373"/>
      </w:pPr>
      <w:r>
        <w:rPr>
          <w:color w:val="000000"/>
        </w:rPr>
        <w:t>h) dyskryminacji, niekorzystnego lub niesprawiedliwego traktowania;</w:t>
      </w:r>
    </w:p>
    <w:p w:rsidR="00DF1EB6" w:rsidRDefault="002F1DC5">
      <w:pPr>
        <w:spacing w:after="0"/>
        <w:ind w:left="373"/>
      </w:pPr>
      <w:r>
        <w:rPr>
          <w:color w:val="000000"/>
        </w:rPr>
        <w:t>i) nieprzekształcenia umowy o pracę na czas określony w umowę o pracę na czas nieokreślony, w sytuacji gdy pracownik mógł mieć uza</w:t>
      </w:r>
      <w:r>
        <w:rPr>
          <w:color w:val="000000"/>
        </w:rPr>
        <w:t>sadnione oczekiwania, że zostanie mu zaoferowane stałe zatrudnienie;</w:t>
      </w:r>
    </w:p>
    <w:p w:rsidR="00DF1EB6" w:rsidRDefault="002F1DC5">
      <w:pPr>
        <w:spacing w:after="0"/>
        <w:ind w:left="373"/>
      </w:pPr>
      <w:r>
        <w:rPr>
          <w:color w:val="000000"/>
        </w:rPr>
        <w:t>j) nieprzedłużenia lub wcześniejszego rozwiązania umowy o pracę na czas określony;</w:t>
      </w:r>
    </w:p>
    <w:p w:rsidR="00DF1EB6" w:rsidRDefault="002F1DC5">
      <w:pPr>
        <w:spacing w:after="0"/>
        <w:ind w:left="373"/>
      </w:pPr>
      <w:r>
        <w:rPr>
          <w:color w:val="000000"/>
        </w:rPr>
        <w:t xml:space="preserve">k) szkody, w tym nadszarpnięcia reputacji danej osoby, zwłaszcza w mediach </w:t>
      </w:r>
      <w:proofErr w:type="spellStart"/>
      <w:r>
        <w:rPr>
          <w:color w:val="000000"/>
        </w:rPr>
        <w:t>społecznościowych</w:t>
      </w:r>
      <w:proofErr w:type="spellEnd"/>
      <w:r>
        <w:rPr>
          <w:color w:val="000000"/>
        </w:rPr>
        <w:t xml:space="preserve">, lub strat </w:t>
      </w:r>
      <w:r>
        <w:rPr>
          <w:color w:val="000000"/>
        </w:rPr>
        <w:t>finansowych, w tym strat gospodarczych i utraty dochodu;</w:t>
      </w:r>
    </w:p>
    <w:p w:rsidR="00DF1EB6" w:rsidRDefault="002F1DC5">
      <w:pPr>
        <w:spacing w:after="0"/>
        <w:ind w:left="373"/>
      </w:pPr>
      <w:r>
        <w:rPr>
          <w:color w:val="000000"/>
        </w:rPr>
        <w:t>l) umieszczenia na czarnej liście na podstawie nieformalnego lub formalnego porozumienia sektorowego lub branżowego, co może skutkować tym, że dana osoba nie znajdzie w przyszłości zatrudnienia w dan</w:t>
      </w:r>
      <w:r>
        <w:rPr>
          <w:color w:val="000000"/>
        </w:rPr>
        <w:t>ym sektorze lub danej branży;</w:t>
      </w:r>
    </w:p>
    <w:p w:rsidR="00DF1EB6" w:rsidRDefault="002F1DC5">
      <w:pPr>
        <w:spacing w:after="0"/>
        <w:ind w:left="373"/>
      </w:pPr>
      <w:r>
        <w:rPr>
          <w:color w:val="000000"/>
        </w:rPr>
        <w:t>m) wcześniejszego rozwiązania lub wypowiedzenia umowy dotyczącej towarów lub umowy o świadczenie usług;</w:t>
      </w:r>
    </w:p>
    <w:p w:rsidR="00DF1EB6" w:rsidRDefault="002F1DC5">
      <w:pPr>
        <w:spacing w:after="0"/>
        <w:ind w:left="373"/>
      </w:pPr>
      <w:r>
        <w:rPr>
          <w:color w:val="000000"/>
        </w:rPr>
        <w:t>n) odebrania licencji lub zezwolenia;</w:t>
      </w:r>
    </w:p>
    <w:p w:rsidR="00DF1EB6" w:rsidRDefault="002F1DC5">
      <w:pPr>
        <w:spacing w:after="0"/>
        <w:ind w:left="373"/>
      </w:pPr>
      <w:r>
        <w:rPr>
          <w:color w:val="000000"/>
        </w:rPr>
        <w:t>o) skierowania na badania psychiatryczne lub lekarskie.</w:t>
      </w:r>
    </w:p>
    <w:p w:rsidR="00DF1EB6" w:rsidRDefault="00DF1EB6">
      <w:pPr>
        <w:spacing w:before="80" w:after="0"/>
      </w:pPr>
    </w:p>
    <w:p w:rsidR="00DF1EB6" w:rsidRDefault="002F1DC5">
      <w:pPr>
        <w:spacing w:after="0"/>
      </w:pPr>
      <w:r>
        <w:rPr>
          <w:b/>
          <w:color w:val="000000"/>
        </w:rPr>
        <w:t>Artykuł  20</w:t>
      </w:r>
    </w:p>
    <w:p w:rsidR="00DF1EB6" w:rsidRDefault="002F1DC5">
      <w:pPr>
        <w:spacing w:after="0"/>
      </w:pPr>
      <w:r>
        <w:rPr>
          <w:b/>
          <w:color w:val="000000"/>
        </w:rPr>
        <w:t>Środki wsparcia</w:t>
      </w:r>
    </w:p>
    <w:p w:rsidR="00DF1EB6" w:rsidRDefault="002F1DC5">
      <w:pPr>
        <w:spacing w:before="26" w:after="0"/>
      </w:pPr>
      <w:r>
        <w:rPr>
          <w:color w:val="000000"/>
        </w:rPr>
        <w:t>1. Państwa członkowskie zapewniają, by osoby, o których mowa w art. 4, miały w stosownych przypadkach dostęp do środków wsparcia, do których należą w szczególności:</w:t>
      </w:r>
    </w:p>
    <w:p w:rsidR="00DF1EB6" w:rsidRDefault="002F1DC5">
      <w:pPr>
        <w:spacing w:after="0"/>
        <w:ind w:left="373"/>
      </w:pPr>
      <w:r>
        <w:rPr>
          <w:color w:val="000000"/>
        </w:rPr>
        <w:t>a) bezpłatny i otwarty dla wszystkich dostęp do kompleksowych i obiektywnych informacji or</w:t>
      </w:r>
      <w:r>
        <w:rPr>
          <w:color w:val="000000"/>
        </w:rPr>
        <w:t>az porad na temat dostępnych procedur i środków ochrony prawnej mających na celu ochronę przed działaniami odwetowymi oraz na temat praw przysługujących osobie, której dotyczy zgłoszenie;</w:t>
      </w:r>
    </w:p>
    <w:p w:rsidR="00DF1EB6" w:rsidRDefault="002F1DC5">
      <w:pPr>
        <w:spacing w:after="0"/>
        <w:ind w:left="373"/>
      </w:pPr>
      <w:r>
        <w:rPr>
          <w:color w:val="000000"/>
        </w:rPr>
        <w:t>b) skuteczna pomoc ze strony właściwych organów w kontaktach z wszel</w:t>
      </w:r>
      <w:r>
        <w:rPr>
          <w:color w:val="000000"/>
        </w:rPr>
        <w:t>kimi odpowiednimi organami zaangażowanymi w ochronę przed działaniami odwetowymi, w tym, jeżeli jest to przewidziane w prawie krajowym, do uzyskania zaświadczenia, że kwalifikują się one do objęcia ochroną na mocy niniejszej dyrektywy; oraz</w:t>
      </w:r>
    </w:p>
    <w:p w:rsidR="00DF1EB6" w:rsidRDefault="002F1DC5">
      <w:pPr>
        <w:spacing w:after="0"/>
        <w:ind w:left="373"/>
      </w:pPr>
      <w:r>
        <w:rPr>
          <w:color w:val="000000"/>
        </w:rPr>
        <w:t>c) pomoc prawna</w:t>
      </w:r>
      <w:r>
        <w:rPr>
          <w:color w:val="000000"/>
        </w:rPr>
        <w:t xml:space="preserve"> w postępowaniach karnych i </w:t>
      </w:r>
      <w:proofErr w:type="spellStart"/>
      <w:r>
        <w:rPr>
          <w:color w:val="000000"/>
        </w:rPr>
        <w:t>transgranicznych</w:t>
      </w:r>
      <w:proofErr w:type="spellEnd"/>
      <w:r>
        <w:rPr>
          <w:color w:val="000000"/>
        </w:rPr>
        <w:t xml:space="preserve"> postępowaniach cywilnych zgodnie z </w:t>
      </w:r>
      <w:r>
        <w:rPr>
          <w:color w:val="1B1B1B"/>
        </w:rPr>
        <w:t>dyrektywą</w:t>
      </w:r>
      <w:r>
        <w:rPr>
          <w:color w:val="000000"/>
        </w:rPr>
        <w:t xml:space="preserve"> (UE) 2016/1919 i </w:t>
      </w:r>
      <w:r>
        <w:rPr>
          <w:color w:val="1B1B1B"/>
        </w:rPr>
        <w:t>dyrektywą</w:t>
      </w:r>
      <w:r>
        <w:rPr>
          <w:color w:val="000000"/>
        </w:rPr>
        <w:t xml:space="preserve"> Parlamentu Europejskiego i Rady 2008/52/WE </w:t>
      </w:r>
      <w:r>
        <w:rPr>
          <w:color w:val="000000"/>
          <w:vertAlign w:val="superscript"/>
        </w:rPr>
        <w:t>48</w:t>
      </w:r>
      <w:r>
        <w:rPr>
          <w:color w:val="000000"/>
        </w:rPr>
        <w:t xml:space="preserve">  oraz, zgodnie z prawem krajowym, pomoc prawna w dalszych postępowaniach, a także doradztwo p</w:t>
      </w:r>
      <w:r>
        <w:rPr>
          <w:color w:val="000000"/>
        </w:rPr>
        <w:t>rawne lub inna pomoc prawna.</w:t>
      </w:r>
    </w:p>
    <w:p w:rsidR="00DF1EB6" w:rsidRDefault="002F1DC5">
      <w:pPr>
        <w:spacing w:before="26" w:after="0"/>
      </w:pPr>
      <w:r>
        <w:rPr>
          <w:color w:val="000000"/>
        </w:rPr>
        <w:lastRenderedPageBreak/>
        <w:t>2. Państwa członkowskie mogą wprowadzić przepisy przewidujące dla osób dokonujących zgłoszenia środki pomocy finansowej i wsparcia, w tym wsparcie psychologiczne, udzielane w toku postępowania sądowego.</w:t>
      </w:r>
    </w:p>
    <w:p w:rsidR="00DF1EB6" w:rsidRDefault="002F1DC5">
      <w:pPr>
        <w:spacing w:before="26" w:after="0"/>
      </w:pPr>
      <w:r>
        <w:rPr>
          <w:color w:val="000000"/>
        </w:rPr>
        <w:t>3. Środki wsparcia, o kt</w:t>
      </w:r>
      <w:r>
        <w:rPr>
          <w:color w:val="000000"/>
        </w:rPr>
        <w:t xml:space="preserve">órych mowa w niniejszym artykule, mogą być udzielane, w stosownych przypadkach, przez </w:t>
      </w:r>
      <w:proofErr w:type="spellStart"/>
      <w:r>
        <w:rPr>
          <w:color w:val="000000"/>
        </w:rPr>
        <w:t>centrum</w:t>
      </w:r>
      <w:proofErr w:type="spellEnd"/>
      <w:r>
        <w:rPr>
          <w:color w:val="000000"/>
        </w:rPr>
        <w:t xml:space="preserve"> informacyjne lub jeden, wyraźnie określony, niezależny organ administracyjny.</w:t>
      </w:r>
    </w:p>
    <w:p w:rsidR="00DF1EB6" w:rsidRDefault="00DF1EB6">
      <w:pPr>
        <w:spacing w:before="80" w:after="0"/>
      </w:pPr>
    </w:p>
    <w:p w:rsidR="00DF1EB6" w:rsidRDefault="002F1DC5">
      <w:pPr>
        <w:spacing w:after="0"/>
      </w:pPr>
      <w:r>
        <w:rPr>
          <w:b/>
          <w:color w:val="000000"/>
        </w:rPr>
        <w:t>Artykuł  21</w:t>
      </w:r>
    </w:p>
    <w:p w:rsidR="00DF1EB6" w:rsidRDefault="002F1DC5">
      <w:pPr>
        <w:spacing w:after="0"/>
      </w:pPr>
      <w:r>
        <w:rPr>
          <w:b/>
          <w:color w:val="000000"/>
        </w:rPr>
        <w:t>Środki ochrony przed działaniami odwetowymi</w:t>
      </w:r>
    </w:p>
    <w:p w:rsidR="00DF1EB6" w:rsidRDefault="002F1DC5">
      <w:pPr>
        <w:spacing w:before="26" w:after="0"/>
      </w:pPr>
      <w:r>
        <w:rPr>
          <w:color w:val="000000"/>
        </w:rPr>
        <w:t>1. Państwa członkowskie pod</w:t>
      </w:r>
      <w:r>
        <w:rPr>
          <w:color w:val="000000"/>
        </w:rPr>
        <w:t>ejmują niezbędne środki mające na celu zapewnienie, aby osoby, o których mowa w art. 4, były chronione przed działaniami odwetowymi. Takie środki obejmują w szczególności środki określone w ust. 2-8 niniejszego artykułu.</w:t>
      </w:r>
    </w:p>
    <w:p w:rsidR="00DF1EB6" w:rsidRDefault="002F1DC5">
      <w:pPr>
        <w:spacing w:before="26" w:after="0"/>
      </w:pPr>
      <w:r>
        <w:rPr>
          <w:color w:val="000000"/>
        </w:rPr>
        <w:t>2. Bez uszczerbku dla art. 3 ust. 2</w:t>
      </w:r>
      <w:r>
        <w:rPr>
          <w:color w:val="000000"/>
        </w:rPr>
        <w:t xml:space="preserve"> i 3, uważa się, że osoby dokonujące zgłoszenia informacji na temat naruszeń lub dokonujące ujawnienia publicznego zgodnie z niniejszą dyrektywą nie naruszają żadnych ograniczeń w zakresie ujawniania informacji i nie ponoszą żadnej odpowiedzialności w zwią</w:t>
      </w:r>
      <w:r>
        <w:rPr>
          <w:color w:val="000000"/>
        </w:rPr>
        <w:t>zku z takim zgłoszeniem lub ujawnieniem publicznym, pod warunkiem że miały uzasadnione podstawy, by sądzić, że zgłoszenie lub ujawnienie publiczne takich informacji jest niezbędne do ujawnienia naruszenia zgodnie z niniejszą dyrektywą.</w:t>
      </w:r>
    </w:p>
    <w:p w:rsidR="00DF1EB6" w:rsidRDefault="002F1DC5">
      <w:pPr>
        <w:spacing w:before="26" w:after="0"/>
      </w:pPr>
      <w:r>
        <w:rPr>
          <w:color w:val="000000"/>
        </w:rPr>
        <w:t xml:space="preserve">3. Osoby dokonujące </w:t>
      </w:r>
      <w:r>
        <w:rPr>
          <w:color w:val="000000"/>
        </w:rPr>
        <w:t xml:space="preserve">zgłoszenia nie ponoszą odpowiedzialności w związku z uzyskaniem informacji będących przedmiotem zgłoszenia lub ujawnienia publicznego lub dostępem do takich informacji, pod warunkiem że takie uzyskanie lub dostęp nie stanowią odrębnego czynu zabronionego. </w:t>
      </w:r>
      <w:r>
        <w:rPr>
          <w:color w:val="000000"/>
        </w:rPr>
        <w:t>W przypadku gdy takie uzyskanie lub dostęp stanowią odrębny czyn zabroniony, kwestia odpowiedzialności karnej pozostaje uregulowana właściwym prawem krajowym.</w:t>
      </w:r>
    </w:p>
    <w:p w:rsidR="00DF1EB6" w:rsidRDefault="002F1DC5">
      <w:pPr>
        <w:spacing w:before="26" w:after="0"/>
      </w:pPr>
      <w:r>
        <w:rPr>
          <w:color w:val="000000"/>
        </w:rPr>
        <w:t xml:space="preserve">4. Ewentualna odpowiedzialność osób dokonujących zgłoszenia wynikająca z działań lub </w:t>
      </w:r>
      <w:proofErr w:type="spellStart"/>
      <w:r>
        <w:rPr>
          <w:color w:val="000000"/>
        </w:rPr>
        <w:t>zaniechań</w:t>
      </w:r>
      <w:proofErr w:type="spellEnd"/>
      <w:r>
        <w:rPr>
          <w:color w:val="000000"/>
        </w:rPr>
        <w:t>, k</w:t>
      </w:r>
      <w:r>
        <w:rPr>
          <w:color w:val="000000"/>
        </w:rPr>
        <w:t>tóre nie są związane ze zgłoszeniem lub ujawnieniem publicznym lub które nie są niezbędne do ujawnienia naruszenia zgodnie z niniejszą dyrektywą, pozostaje uregulowana właściwym prawem Unii lub prawem krajowym.</w:t>
      </w:r>
    </w:p>
    <w:p w:rsidR="00DF1EB6" w:rsidRDefault="002F1DC5">
      <w:pPr>
        <w:spacing w:before="26" w:after="0"/>
      </w:pPr>
      <w:r>
        <w:rPr>
          <w:color w:val="000000"/>
        </w:rPr>
        <w:t>5. W postępowaniach przed sądem lub innym org</w:t>
      </w:r>
      <w:r>
        <w:rPr>
          <w:color w:val="000000"/>
        </w:rPr>
        <w:t>anem dotyczących szkody poniesionej przez osobę dokonującą zgłoszenia, jeżeli osoba ta twierdzi, iż w wyniku zgłoszenia lub dokonania ujawnienia publicznego poniosła szkodę, przyjmuje się, że szkoda została wyrządzona w ramach działań odwetowych za zgłosze</w:t>
      </w:r>
      <w:r>
        <w:rPr>
          <w:color w:val="000000"/>
        </w:rPr>
        <w:t>nie lub ujawnienie publiczne. W takich przypadkach na osobie, która podjęła działania powodujące szkodę, spoczywa ciężar udowodnienia, że działania te przeprowadziła z należycie uzasadnionych powodów.</w:t>
      </w:r>
    </w:p>
    <w:p w:rsidR="00DF1EB6" w:rsidRDefault="002F1DC5">
      <w:pPr>
        <w:spacing w:before="26" w:after="0"/>
      </w:pPr>
      <w:r>
        <w:rPr>
          <w:color w:val="000000"/>
        </w:rPr>
        <w:t>6. Osobom, o których mowa w art. 4, przysługuje - w sto</w:t>
      </w:r>
      <w:r>
        <w:rPr>
          <w:color w:val="000000"/>
        </w:rPr>
        <w:t>sownych przypadkach - dostęp do środków zaradczych w odpowiedzi na działania odwetowe, w tym do tymczasowych środków ochrony prawnej w trakcie toczącego się postępowania sądowego, zgodnie z prawem krajowym.</w:t>
      </w:r>
    </w:p>
    <w:p w:rsidR="00DF1EB6" w:rsidRDefault="002F1DC5">
      <w:pPr>
        <w:spacing w:before="26" w:after="0"/>
      </w:pPr>
      <w:r>
        <w:rPr>
          <w:color w:val="000000"/>
        </w:rPr>
        <w:t>7. W postępowaniach prawnych, na przykład dotyczą</w:t>
      </w:r>
      <w:r>
        <w:rPr>
          <w:color w:val="000000"/>
        </w:rPr>
        <w:t>cych zniesławienia, naruszenia praw autorskich, naruszenia tajemnicy, naruszenia przepisów o ochronie danych, naruszenia tajemnicy przedsiębiorstwa, lub w przypadku roszczeń odszkodowawczych na podstawie prawa prywatnego, publicznego lub zbiorowego prawa p</w:t>
      </w:r>
      <w:r>
        <w:rPr>
          <w:color w:val="000000"/>
        </w:rPr>
        <w:t xml:space="preserve">racy, osoby, o których mowa w art. </w:t>
      </w:r>
      <w:r>
        <w:rPr>
          <w:color w:val="000000"/>
        </w:rPr>
        <w:lastRenderedPageBreak/>
        <w:t>4, nie ponoszą żadnej odpowiedzialności w wyniku dokonania zgłoszenia lub ujawnienia publicznego zgodnie z niniejszą dyrektywą. Osoby te mają prawo wystąpić o umorzenie postępowania, powołując się na to zgłoszenie lub uja</w:t>
      </w:r>
      <w:r>
        <w:rPr>
          <w:color w:val="000000"/>
        </w:rPr>
        <w:t>wnienie publiczne, pod warunkiem że miały uzasadnione podstawy, by sądzić, że zgłoszenie lub ujawnienie publiczne jest niezbędne do ujawnienia naruszenia zgodnie z niniejszą dyrektywą.</w:t>
      </w:r>
    </w:p>
    <w:p w:rsidR="00DF1EB6" w:rsidRDefault="002F1DC5">
      <w:pPr>
        <w:spacing w:before="25" w:after="0"/>
        <w:jc w:val="both"/>
      </w:pPr>
      <w:r>
        <w:rPr>
          <w:color w:val="000000"/>
        </w:rPr>
        <w:t>W przypadku gdy dana osoba dokonuje zgłoszenia lub ujawnia publicznie i</w:t>
      </w:r>
      <w:r>
        <w:rPr>
          <w:color w:val="000000"/>
        </w:rPr>
        <w:t>nformacje na temat naruszeń objętych zakresem stosowania niniejszej dyrektywy, a informacje te zawierają tajemnice przedsiębiorstwa i osoba ta spełnia warunki niniejszej dyrektywy, takie zgłoszenie lub ujawnienie publiczne uznaje się za zgodne z prawem z z</w:t>
      </w:r>
      <w:r>
        <w:rPr>
          <w:color w:val="000000"/>
        </w:rPr>
        <w:t xml:space="preserve">astrzeżeniem spełnienia warunków </w:t>
      </w:r>
      <w:r>
        <w:rPr>
          <w:color w:val="1B1B1B"/>
        </w:rPr>
        <w:t>art. 3 ust. 2</w:t>
      </w:r>
      <w:r>
        <w:rPr>
          <w:color w:val="000000"/>
        </w:rPr>
        <w:t xml:space="preserve"> dyrektywy (UE) 2016/943.</w:t>
      </w:r>
    </w:p>
    <w:p w:rsidR="00DF1EB6" w:rsidRDefault="002F1DC5">
      <w:pPr>
        <w:spacing w:before="26" w:after="0"/>
      </w:pPr>
      <w:r>
        <w:rPr>
          <w:color w:val="000000"/>
        </w:rPr>
        <w:t>8. Państwa członkowskie przyjmują niezbędne środki, aby zapewnić środki ochrony prawnej i pełne odszkodowanie za szkodę poniesioną przez osoby, o których mowa w art. 4, zgodnie z prawe</w:t>
      </w:r>
      <w:r>
        <w:rPr>
          <w:color w:val="000000"/>
        </w:rPr>
        <w:t>m krajowym.</w:t>
      </w:r>
    </w:p>
    <w:p w:rsidR="00DF1EB6" w:rsidRDefault="00DF1EB6">
      <w:pPr>
        <w:spacing w:before="80" w:after="0"/>
      </w:pPr>
    </w:p>
    <w:p w:rsidR="00DF1EB6" w:rsidRDefault="002F1DC5">
      <w:pPr>
        <w:spacing w:after="0"/>
      </w:pPr>
      <w:r>
        <w:rPr>
          <w:b/>
          <w:color w:val="000000"/>
        </w:rPr>
        <w:t>Artykuł  22</w:t>
      </w:r>
    </w:p>
    <w:p w:rsidR="00DF1EB6" w:rsidRDefault="002F1DC5">
      <w:pPr>
        <w:spacing w:after="0"/>
      </w:pPr>
      <w:r>
        <w:rPr>
          <w:b/>
          <w:color w:val="000000"/>
        </w:rPr>
        <w:t>Środki ochrony osób, których dotyczy zgłoszenie</w:t>
      </w:r>
    </w:p>
    <w:p w:rsidR="00DF1EB6" w:rsidRDefault="002F1DC5">
      <w:pPr>
        <w:spacing w:before="26" w:after="0"/>
      </w:pPr>
      <w:r>
        <w:rPr>
          <w:color w:val="000000"/>
        </w:rPr>
        <w:t xml:space="preserve">1. Zgodnie z Kartą państwa członkowskie zapewniają osobom, których dotyczy zgłoszenie, korzystanie w pełni z prawa do skutecznego środka ochrony prawnej i dostępu do bezstronnego </w:t>
      </w:r>
      <w:r>
        <w:rPr>
          <w:color w:val="000000"/>
        </w:rPr>
        <w:t>sądu, jak również domniemanie niewinności i prawo do obrony, w tym prawo do bycia wysłuchanym i prawo dostępu do akt.</w:t>
      </w:r>
    </w:p>
    <w:p w:rsidR="00DF1EB6" w:rsidRDefault="002F1DC5">
      <w:pPr>
        <w:spacing w:before="26" w:after="0"/>
      </w:pPr>
      <w:r>
        <w:rPr>
          <w:color w:val="000000"/>
        </w:rPr>
        <w:t xml:space="preserve">2. Właściwe organy zapewniają, zgodnie z prawem krajowym, ochronę tożsamości osób, których dotyczy zgłoszenie, tak długo jak postępowania </w:t>
      </w:r>
      <w:r>
        <w:rPr>
          <w:color w:val="000000"/>
        </w:rPr>
        <w:t>wyjaśniające uruchomione na skutek danego zgłoszenia lub ujawnienia publicznego są w toku.</w:t>
      </w:r>
    </w:p>
    <w:p w:rsidR="00DF1EB6" w:rsidRDefault="002F1DC5">
      <w:pPr>
        <w:spacing w:before="26" w:after="0"/>
      </w:pPr>
      <w:r>
        <w:rPr>
          <w:color w:val="000000"/>
        </w:rPr>
        <w:t>3. Przepisy określone w art. 12, 17 i 18 dotyczące ochrony tożsamości osób dokonujących zgłoszenia stosuje się również do ochrony tożsamości osób, których dotyczy zg</w:t>
      </w:r>
      <w:r>
        <w:rPr>
          <w:color w:val="000000"/>
        </w:rPr>
        <w:t>łoszenie.</w:t>
      </w:r>
    </w:p>
    <w:p w:rsidR="00DF1EB6" w:rsidRDefault="00DF1EB6">
      <w:pPr>
        <w:spacing w:before="80" w:after="0"/>
      </w:pPr>
    </w:p>
    <w:p w:rsidR="00DF1EB6" w:rsidRDefault="002F1DC5">
      <w:pPr>
        <w:spacing w:after="0"/>
      </w:pPr>
      <w:r>
        <w:rPr>
          <w:b/>
          <w:color w:val="000000"/>
        </w:rPr>
        <w:t>Artykuł  23</w:t>
      </w:r>
    </w:p>
    <w:p w:rsidR="00DF1EB6" w:rsidRDefault="002F1DC5">
      <w:pPr>
        <w:spacing w:after="0"/>
      </w:pPr>
      <w:r>
        <w:rPr>
          <w:b/>
          <w:color w:val="000000"/>
        </w:rPr>
        <w:t>Sankcje</w:t>
      </w:r>
    </w:p>
    <w:p w:rsidR="00DF1EB6" w:rsidRDefault="002F1DC5">
      <w:pPr>
        <w:spacing w:before="26" w:after="0"/>
      </w:pPr>
      <w:r>
        <w:rPr>
          <w:color w:val="000000"/>
        </w:rPr>
        <w:t>1. Państwa członkowskie ustanawiają skuteczne, proporcjonalne i odstraszające sankcje stosowane wobec osób fizycznych lub prawnych, które:</w:t>
      </w:r>
    </w:p>
    <w:p w:rsidR="00DF1EB6" w:rsidRDefault="002F1DC5">
      <w:pPr>
        <w:spacing w:after="0"/>
        <w:ind w:left="373"/>
      </w:pPr>
      <w:r>
        <w:rPr>
          <w:color w:val="000000"/>
        </w:rPr>
        <w:t>a) utrudniają lub usiłują utrudniać dokonywanie zgłoszeń;</w:t>
      </w:r>
    </w:p>
    <w:p w:rsidR="00DF1EB6" w:rsidRDefault="002F1DC5">
      <w:pPr>
        <w:spacing w:after="0"/>
        <w:ind w:left="373"/>
      </w:pPr>
      <w:r>
        <w:rPr>
          <w:color w:val="000000"/>
        </w:rPr>
        <w:t>b) podejmują działania odwet</w:t>
      </w:r>
      <w:r>
        <w:rPr>
          <w:color w:val="000000"/>
        </w:rPr>
        <w:t>owe wobec osób, o których mowa w art. 4;</w:t>
      </w:r>
    </w:p>
    <w:p w:rsidR="00DF1EB6" w:rsidRDefault="002F1DC5">
      <w:pPr>
        <w:spacing w:after="0"/>
        <w:ind w:left="373"/>
      </w:pPr>
      <w:r>
        <w:rPr>
          <w:color w:val="000000"/>
        </w:rPr>
        <w:t>c) wszczynają uciążliwe postępowania przeciwko osobom, o których mowa w art. 4;</w:t>
      </w:r>
    </w:p>
    <w:p w:rsidR="00DF1EB6" w:rsidRDefault="002F1DC5">
      <w:pPr>
        <w:spacing w:after="0"/>
        <w:ind w:left="373"/>
      </w:pPr>
      <w:r>
        <w:rPr>
          <w:color w:val="000000"/>
        </w:rPr>
        <w:t>d) dopuszczają się naruszeń obowiązku zachowania poufności tożsamości osób dokonujących zgłoszenia, o którym to obowiązku mowa w art. 1</w:t>
      </w:r>
      <w:r>
        <w:rPr>
          <w:color w:val="000000"/>
        </w:rPr>
        <w:t>6.</w:t>
      </w:r>
    </w:p>
    <w:p w:rsidR="00DF1EB6" w:rsidRDefault="002F1DC5">
      <w:pPr>
        <w:spacing w:before="26" w:after="0"/>
      </w:pPr>
      <w:r>
        <w:rPr>
          <w:color w:val="000000"/>
        </w:rPr>
        <w:t xml:space="preserve">2. Państwa członkowskie wprowadzają przepisy przewidujące skuteczne, proporcjonalne i odstraszające sankcje dla osób dokonujących zgłoszenia, wobec których ustalono, że świadomie dokonały zgłoszenia lub ujawnienia publicznego nieprawdziwych informacji. </w:t>
      </w:r>
      <w:r>
        <w:rPr>
          <w:color w:val="000000"/>
        </w:rPr>
        <w:t>Państwa członkowskie wprowadzają również przepisy przewidujące, zgodnie z prawem krajowym, środki odszkodowawcze za szkodę wynikającą z takiego zgłoszenia lub ujawniania publicznego.</w:t>
      </w:r>
    </w:p>
    <w:p w:rsidR="00DF1EB6" w:rsidRDefault="00DF1EB6">
      <w:pPr>
        <w:spacing w:before="80" w:after="0"/>
      </w:pPr>
    </w:p>
    <w:p w:rsidR="00DF1EB6" w:rsidRDefault="002F1DC5">
      <w:pPr>
        <w:spacing w:after="0"/>
      </w:pPr>
      <w:r>
        <w:rPr>
          <w:b/>
          <w:color w:val="000000"/>
        </w:rPr>
        <w:lastRenderedPageBreak/>
        <w:t>Artykuł  24</w:t>
      </w:r>
    </w:p>
    <w:p w:rsidR="00DF1EB6" w:rsidRDefault="002F1DC5">
      <w:pPr>
        <w:spacing w:after="0"/>
      </w:pPr>
      <w:r>
        <w:rPr>
          <w:b/>
          <w:color w:val="000000"/>
        </w:rPr>
        <w:t>Zakaz zrzeczenia się praw i środków ochrony prawnej</w:t>
      </w:r>
    </w:p>
    <w:p w:rsidR="00DF1EB6" w:rsidRDefault="002F1DC5">
      <w:pPr>
        <w:spacing w:before="25" w:after="0"/>
        <w:jc w:val="both"/>
      </w:pPr>
      <w:r>
        <w:rPr>
          <w:color w:val="000000"/>
        </w:rPr>
        <w:t xml:space="preserve">Państwa </w:t>
      </w:r>
      <w:r>
        <w:rPr>
          <w:color w:val="000000"/>
        </w:rPr>
        <w:t>członkowskie zapewniają, aby nie można było zrzec się praw i środków ochrony prawnej przewidzianych w niniejszej dyrektywie ani ograniczyć takich praw lub środków ochrony prawnej w drodze jakiejkolwiek umowy, polityki, formy zatrudnienia lub warunków zatru</w:t>
      </w:r>
      <w:r>
        <w:rPr>
          <w:color w:val="000000"/>
        </w:rPr>
        <w:t xml:space="preserve">dnienia, w tym umowy o arbitraż na etapie </w:t>
      </w:r>
      <w:proofErr w:type="spellStart"/>
      <w:r>
        <w:rPr>
          <w:color w:val="000000"/>
        </w:rPr>
        <w:t>przedspornym</w:t>
      </w:r>
      <w:proofErr w:type="spellEnd"/>
      <w:r>
        <w:rPr>
          <w:color w:val="000000"/>
        </w:rPr>
        <w:t>.</w:t>
      </w:r>
    </w:p>
    <w:p w:rsidR="00DF1EB6" w:rsidRDefault="00DF1EB6">
      <w:pPr>
        <w:spacing w:after="0"/>
      </w:pPr>
    </w:p>
    <w:p w:rsidR="00DF1EB6" w:rsidRDefault="002F1DC5">
      <w:pPr>
        <w:spacing w:before="89" w:after="0"/>
        <w:jc w:val="center"/>
      </w:pPr>
      <w:r>
        <w:rPr>
          <w:b/>
          <w:color w:val="000000"/>
        </w:rPr>
        <w:t>ROZDZIAŁ  VII</w:t>
      </w:r>
    </w:p>
    <w:p w:rsidR="00DF1EB6" w:rsidRDefault="002F1DC5">
      <w:pPr>
        <w:spacing w:before="25" w:after="0"/>
        <w:jc w:val="center"/>
      </w:pPr>
      <w:r>
        <w:rPr>
          <w:b/>
          <w:color w:val="000000"/>
        </w:rPr>
        <w:t>PRZEPISY KOŃCOWE</w:t>
      </w:r>
    </w:p>
    <w:p w:rsidR="00DF1EB6" w:rsidRDefault="00DF1EB6">
      <w:pPr>
        <w:spacing w:before="80" w:after="0"/>
      </w:pPr>
    </w:p>
    <w:p w:rsidR="00DF1EB6" w:rsidRDefault="002F1DC5">
      <w:pPr>
        <w:spacing w:after="0"/>
      </w:pPr>
      <w:r>
        <w:rPr>
          <w:b/>
          <w:color w:val="000000"/>
        </w:rPr>
        <w:t>Artykuł  25</w:t>
      </w:r>
    </w:p>
    <w:p w:rsidR="00DF1EB6" w:rsidRDefault="002F1DC5">
      <w:pPr>
        <w:spacing w:after="0"/>
      </w:pPr>
      <w:r>
        <w:rPr>
          <w:b/>
          <w:color w:val="000000"/>
        </w:rPr>
        <w:t>Korzystniejsze traktowanie i klauzula o nieobniżaniu poziomu ochrony</w:t>
      </w:r>
    </w:p>
    <w:p w:rsidR="00DF1EB6" w:rsidRDefault="002F1DC5">
      <w:pPr>
        <w:spacing w:before="26" w:after="0"/>
      </w:pPr>
      <w:r>
        <w:rPr>
          <w:color w:val="000000"/>
        </w:rPr>
        <w:t>1. Państwa członkowskie mogą przyjąć lub utrzymać w mocy przepisy, które są korzystnie</w:t>
      </w:r>
      <w:r>
        <w:rPr>
          <w:color w:val="000000"/>
        </w:rPr>
        <w:t>jsze dla praw osób dokonujących zgłoszenia niż przepisy ustanowione w niniejszej dyrektywie, bez uszczerbku dla art. 22 i art. 23 ust. 2.</w:t>
      </w:r>
    </w:p>
    <w:p w:rsidR="00DF1EB6" w:rsidRDefault="002F1DC5">
      <w:pPr>
        <w:spacing w:before="26" w:after="0"/>
      </w:pPr>
      <w:r>
        <w:rPr>
          <w:color w:val="000000"/>
        </w:rPr>
        <w:t>2. Wdrożenie niniejszej dyrektywy nie może w żadnym przypadku stanowić podstawy obniżenia poziomu ochrony już przyznan</w:t>
      </w:r>
      <w:r>
        <w:rPr>
          <w:color w:val="000000"/>
        </w:rPr>
        <w:t>ej przez państwa członkowskie w dziedzinach objętych niniejszą dyrektywą.</w:t>
      </w:r>
    </w:p>
    <w:p w:rsidR="00DF1EB6" w:rsidRDefault="00DF1EB6">
      <w:pPr>
        <w:spacing w:before="80" w:after="0"/>
      </w:pPr>
    </w:p>
    <w:p w:rsidR="00DF1EB6" w:rsidRDefault="002F1DC5">
      <w:pPr>
        <w:spacing w:after="0"/>
      </w:pPr>
      <w:r>
        <w:rPr>
          <w:b/>
          <w:color w:val="000000"/>
        </w:rPr>
        <w:t>Artykuł  26</w:t>
      </w:r>
    </w:p>
    <w:p w:rsidR="00DF1EB6" w:rsidRDefault="002F1DC5">
      <w:pPr>
        <w:spacing w:after="0"/>
      </w:pPr>
      <w:r>
        <w:rPr>
          <w:b/>
          <w:color w:val="000000"/>
        </w:rPr>
        <w:t>Transpozycja i okres przejściowy</w:t>
      </w:r>
    </w:p>
    <w:p w:rsidR="00DF1EB6" w:rsidRDefault="002F1DC5">
      <w:pPr>
        <w:spacing w:before="26" w:after="0"/>
      </w:pPr>
      <w:r>
        <w:rPr>
          <w:color w:val="000000"/>
        </w:rPr>
        <w:t xml:space="preserve">1. Państwa członkowskie wprowadzają w życie przepisy ustawowe, wykonawcze i administracyjne niezbędne do wykonania niniejszej dyrektywy </w:t>
      </w:r>
      <w:r>
        <w:rPr>
          <w:color w:val="000000"/>
        </w:rPr>
        <w:t>do dnia 17 grudnia 2021 r.</w:t>
      </w:r>
    </w:p>
    <w:p w:rsidR="00DF1EB6" w:rsidRDefault="002F1DC5">
      <w:pPr>
        <w:spacing w:before="26" w:after="0"/>
      </w:pPr>
      <w:r>
        <w:rPr>
          <w:color w:val="000000"/>
        </w:rPr>
        <w:t xml:space="preserve">2. Na zasadzie odstępstwa od ust. 1, w przypadku podmiotów prawnych w sektorze prywatnym zatrudniających od 50 do 249 pracowników, państwa członkowskie wprowadzają w życie do dnia 17 grudnia 2023 r. przepisy ustawowe, wykonawcze </w:t>
      </w:r>
      <w:r>
        <w:rPr>
          <w:color w:val="000000"/>
        </w:rPr>
        <w:t>i administracyjne niezbędne do wypełnienia obowiązku ustanowienia wewnętrznych kanałów dokonywania zgłoszeń zgodnie z art. 8 ust. 3.</w:t>
      </w:r>
    </w:p>
    <w:p w:rsidR="00DF1EB6" w:rsidRDefault="002F1DC5">
      <w:pPr>
        <w:spacing w:before="26" w:after="0"/>
      </w:pPr>
      <w:r>
        <w:rPr>
          <w:color w:val="000000"/>
        </w:rPr>
        <w:t>3. Przyjęte przez państwa członkowskie przepisy, o których mowa w ust. 1 i 2, zawierają odniesienie do niniejszej dyrektywy</w:t>
      </w:r>
      <w:r>
        <w:rPr>
          <w:color w:val="000000"/>
        </w:rPr>
        <w:t xml:space="preserve"> lub odniesienie takie towarzyszy ich urzędowej publikacji. Sposób dokonywania takiego odniesienia określany jest przez państwa członkowskie. Państwa członkowskie niezwłocznie przekazują Komisji tekst tych przepisów.</w:t>
      </w:r>
    </w:p>
    <w:p w:rsidR="00DF1EB6" w:rsidRDefault="00DF1EB6">
      <w:pPr>
        <w:spacing w:before="80" w:after="0"/>
      </w:pPr>
    </w:p>
    <w:p w:rsidR="00DF1EB6" w:rsidRDefault="002F1DC5">
      <w:pPr>
        <w:spacing w:after="0"/>
      </w:pPr>
      <w:r>
        <w:rPr>
          <w:b/>
          <w:color w:val="000000"/>
        </w:rPr>
        <w:t>Artykuł  27</w:t>
      </w:r>
    </w:p>
    <w:p w:rsidR="00DF1EB6" w:rsidRDefault="002F1DC5">
      <w:pPr>
        <w:spacing w:after="0"/>
      </w:pPr>
      <w:r>
        <w:rPr>
          <w:b/>
          <w:color w:val="000000"/>
        </w:rPr>
        <w:t>Monitorowanie, ocena i prz</w:t>
      </w:r>
      <w:r>
        <w:rPr>
          <w:b/>
          <w:color w:val="000000"/>
        </w:rPr>
        <w:t>egląd</w:t>
      </w:r>
    </w:p>
    <w:p w:rsidR="00DF1EB6" w:rsidRDefault="002F1DC5">
      <w:pPr>
        <w:spacing w:before="26" w:after="0"/>
      </w:pPr>
      <w:r>
        <w:rPr>
          <w:color w:val="000000"/>
        </w:rPr>
        <w:t>1. Państwa członkowskie przekazują Komisji wszelkie istotne informacje dotyczące wdrażania i stosowania niniejszej dyrektywy. Na podstawie przekazanych informacji Komisja, do dnia 17 grudnia 2023 r., przedkłada Parlamentowi Europejskiemu i Radzie spr</w:t>
      </w:r>
      <w:r>
        <w:rPr>
          <w:color w:val="000000"/>
        </w:rPr>
        <w:t>awozdanie z wdrażania i stosowania niniejszej dyrektywy.</w:t>
      </w:r>
    </w:p>
    <w:p w:rsidR="00DF1EB6" w:rsidRDefault="002F1DC5">
      <w:pPr>
        <w:spacing w:before="26" w:after="0"/>
      </w:pPr>
      <w:r>
        <w:rPr>
          <w:color w:val="000000"/>
        </w:rPr>
        <w:t>2. Bez uszczerbku dla obowiązków sprawozdawczych określonych w innych aktach prawnych Unii państwa członkowskie przedkładają Komisji corocznie następujące dane statystyczne na temat zgłoszeń, o który</w:t>
      </w:r>
      <w:r>
        <w:rPr>
          <w:color w:val="000000"/>
        </w:rPr>
        <w:t xml:space="preserve">ch mowa w rozdziale III, najlepiej w formie </w:t>
      </w:r>
      <w:r>
        <w:rPr>
          <w:color w:val="000000"/>
        </w:rPr>
        <w:lastRenderedPageBreak/>
        <w:t>zagregowanej, jeżeli dane te są dostępne na poziomie centralnym w danym państwie członkowskim:</w:t>
      </w:r>
    </w:p>
    <w:p w:rsidR="00DF1EB6" w:rsidRDefault="002F1DC5">
      <w:pPr>
        <w:spacing w:after="0"/>
        <w:ind w:left="373"/>
      </w:pPr>
      <w:r>
        <w:rPr>
          <w:color w:val="000000"/>
        </w:rPr>
        <w:t>a) liczbę zgłoszeń przyjętych przez właściwe organy;</w:t>
      </w:r>
    </w:p>
    <w:p w:rsidR="00DF1EB6" w:rsidRDefault="002F1DC5">
      <w:pPr>
        <w:spacing w:after="0"/>
        <w:ind w:left="373"/>
      </w:pPr>
      <w:r>
        <w:rPr>
          <w:color w:val="000000"/>
        </w:rPr>
        <w:t>b) liczbę postępowań wyjaśniających i postępowań wszczętych w wy</w:t>
      </w:r>
      <w:r>
        <w:rPr>
          <w:color w:val="000000"/>
        </w:rPr>
        <w:t>niku takich zgłoszeń oraz informacje na temat ich wyniku; oraz</w:t>
      </w:r>
    </w:p>
    <w:p w:rsidR="00DF1EB6" w:rsidRDefault="002F1DC5">
      <w:pPr>
        <w:spacing w:after="0"/>
        <w:ind w:left="373"/>
      </w:pPr>
      <w:r>
        <w:rPr>
          <w:color w:val="000000"/>
        </w:rPr>
        <w:t>c) szacunkowa szkoda majątkowa, jeżeli została stwierdzona, oraz kwoty odzyskane w wyniku postępowań wyjaśniających i postępowań dotyczących naruszeń będących przedmiotem zgłoszenia.</w:t>
      </w:r>
    </w:p>
    <w:p w:rsidR="00DF1EB6" w:rsidRDefault="002F1DC5">
      <w:pPr>
        <w:spacing w:before="26" w:after="0"/>
      </w:pPr>
      <w:r>
        <w:rPr>
          <w:color w:val="000000"/>
        </w:rPr>
        <w:t>3. Do dnia</w:t>
      </w:r>
      <w:r>
        <w:rPr>
          <w:color w:val="000000"/>
        </w:rPr>
        <w:t xml:space="preserve"> 17 grudnia 2025 r. Komisja, uwzględniając swoje sprawozdanie przedłożone na podstawie ust. 1 oraz dane statystyczne państw członkowskich przekazane na podstawie ust. 2, przedkłada Parlamentowi Europejskiemu i Radzie sprawozdanie oceniające skutki prawa kr</w:t>
      </w:r>
      <w:r>
        <w:rPr>
          <w:color w:val="000000"/>
        </w:rPr>
        <w:t>ajowego transponującego niniejszą dyrektywę. W sprawozdaniu ocenia się sposób funkcjonowania niniejszej dyrektywy oraz rozważa potrzebę wprowadzenia dodatkowych środków, w tym - w stosownych przypadkach - zmian mających na celu rozszerzenie zakresu stosowa</w:t>
      </w:r>
      <w:r>
        <w:rPr>
          <w:color w:val="000000"/>
        </w:rPr>
        <w:t>nia niniejszej dyrektywy na kolejne akty Unii lub dziedziny, w szczególności poprawę środowiska pracy w celu ochrony zdrowia i bezpieczeństwa pracowników oraz poprawę warunków pracy.</w:t>
      </w:r>
    </w:p>
    <w:p w:rsidR="00DF1EB6" w:rsidRDefault="002F1DC5">
      <w:pPr>
        <w:spacing w:before="25" w:after="0"/>
        <w:jc w:val="both"/>
      </w:pPr>
      <w:r>
        <w:rPr>
          <w:color w:val="000000"/>
        </w:rPr>
        <w:t>Oprócz oceny, o której mowa w akapicie pierwszym, w sprawozdaniu ocenia s</w:t>
      </w:r>
      <w:r>
        <w:rPr>
          <w:color w:val="000000"/>
        </w:rPr>
        <w:t>ię, w jaki sposób państwa członkowskie korzystały z istniejących mechanizmów współpracy w ramach wypełniania obowiązków dotyczących podejmowania działań następczych w związku ze zgłoszeniami dotyczącymi naruszeń objętych zakresem stosowania niniejszej dyre</w:t>
      </w:r>
      <w:r>
        <w:rPr>
          <w:color w:val="000000"/>
        </w:rPr>
        <w:t xml:space="preserve">ktywy oraz w ujęciu bardziej ogólnym, jak współpracowały w przypadku naruszeń o wymiarze </w:t>
      </w:r>
      <w:proofErr w:type="spellStart"/>
      <w:r>
        <w:rPr>
          <w:color w:val="000000"/>
        </w:rPr>
        <w:t>transgranicznym</w:t>
      </w:r>
      <w:proofErr w:type="spellEnd"/>
      <w:r>
        <w:rPr>
          <w:color w:val="000000"/>
        </w:rPr>
        <w:t>.</w:t>
      </w:r>
    </w:p>
    <w:p w:rsidR="00DF1EB6" w:rsidRDefault="002F1DC5">
      <w:pPr>
        <w:spacing w:before="26" w:after="0"/>
      </w:pPr>
      <w:r>
        <w:rPr>
          <w:color w:val="000000"/>
        </w:rPr>
        <w:t>4. Komisja podaje do wiadomości publicznej sprawozdania, o których mowa w ust. 1 i 3, i dba, by były łatwo dostępne.</w:t>
      </w:r>
    </w:p>
    <w:p w:rsidR="00DF1EB6" w:rsidRDefault="00DF1EB6">
      <w:pPr>
        <w:spacing w:before="80" w:after="0"/>
      </w:pPr>
    </w:p>
    <w:p w:rsidR="00DF1EB6" w:rsidRDefault="002F1DC5">
      <w:pPr>
        <w:spacing w:after="0"/>
      </w:pPr>
      <w:r>
        <w:rPr>
          <w:b/>
          <w:color w:val="000000"/>
        </w:rPr>
        <w:t>Artykuł  28</w:t>
      </w:r>
    </w:p>
    <w:p w:rsidR="00DF1EB6" w:rsidRDefault="002F1DC5">
      <w:pPr>
        <w:spacing w:after="0"/>
      </w:pPr>
      <w:r>
        <w:rPr>
          <w:b/>
          <w:color w:val="000000"/>
        </w:rPr>
        <w:t>Wejście w życie</w:t>
      </w:r>
    </w:p>
    <w:p w:rsidR="00DF1EB6" w:rsidRDefault="002F1DC5">
      <w:pPr>
        <w:spacing w:before="25" w:after="0"/>
        <w:jc w:val="both"/>
      </w:pPr>
      <w:r>
        <w:rPr>
          <w:color w:val="000000"/>
        </w:rPr>
        <w:t>Nini</w:t>
      </w:r>
      <w:r>
        <w:rPr>
          <w:color w:val="000000"/>
        </w:rPr>
        <w:t xml:space="preserve">ejsza dyrektywa wchodzi w życie dwudziestego dnia po jej opublikowaniu w </w:t>
      </w:r>
      <w:r>
        <w:rPr>
          <w:i/>
          <w:color w:val="000000"/>
        </w:rPr>
        <w:t>Dzienniku Urzędowym Unii Europejskiej</w:t>
      </w:r>
      <w:r>
        <w:rPr>
          <w:color w:val="000000"/>
        </w:rPr>
        <w:t>.</w:t>
      </w:r>
    </w:p>
    <w:p w:rsidR="00DF1EB6" w:rsidRDefault="00DF1EB6">
      <w:pPr>
        <w:spacing w:before="80" w:after="0"/>
      </w:pPr>
    </w:p>
    <w:p w:rsidR="00DF1EB6" w:rsidRDefault="002F1DC5">
      <w:pPr>
        <w:spacing w:after="0"/>
      </w:pPr>
      <w:r>
        <w:rPr>
          <w:b/>
          <w:color w:val="000000"/>
        </w:rPr>
        <w:t>Artykuł  29</w:t>
      </w:r>
    </w:p>
    <w:p w:rsidR="00DF1EB6" w:rsidRDefault="002F1DC5">
      <w:pPr>
        <w:spacing w:after="0"/>
      </w:pPr>
      <w:r>
        <w:rPr>
          <w:b/>
          <w:color w:val="000000"/>
        </w:rPr>
        <w:t>Adresaci</w:t>
      </w:r>
    </w:p>
    <w:p w:rsidR="00DF1EB6" w:rsidRDefault="002F1DC5">
      <w:pPr>
        <w:spacing w:before="25" w:after="0"/>
        <w:jc w:val="both"/>
      </w:pPr>
      <w:r>
        <w:rPr>
          <w:color w:val="000000"/>
        </w:rPr>
        <w:t>Niniejsza dyrektywa skierowana jest do państw członkowskich.</w:t>
      </w:r>
    </w:p>
    <w:p w:rsidR="00DF1EB6" w:rsidRDefault="002F1DC5">
      <w:pPr>
        <w:spacing w:after="0"/>
      </w:pPr>
      <w:r>
        <w:rPr>
          <w:color w:val="000000"/>
        </w:rPr>
        <w:t>Sporządzono w Strasburgu dnia 23 października 2019 r.</w:t>
      </w:r>
    </w:p>
    <w:tbl>
      <w:tblPr>
        <w:tblW w:w="0" w:type="auto"/>
        <w:tblCellSpacing w:w="0" w:type="auto"/>
        <w:tblLook w:val="04A0"/>
      </w:tblPr>
      <w:tblGrid>
        <w:gridCol w:w="4510"/>
        <w:gridCol w:w="4547"/>
      </w:tblGrid>
      <w:tr w:rsidR="00DF1EB6">
        <w:trPr>
          <w:trHeight w:val="30"/>
          <w:tblCellSpacing w:w="0" w:type="auto"/>
        </w:trPr>
        <w:tc>
          <w:tcPr>
            <w:tcW w:w="6143" w:type="dxa"/>
            <w:tcMar>
              <w:top w:w="15" w:type="dxa"/>
              <w:left w:w="15" w:type="dxa"/>
              <w:bottom w:w="15" w:type="dxa"/>
              <w:right w:w="15" w:type="dxa"/>
            </w:tcMar>
            <w:vAlign w:val="center"/>
          </w:tcPr>
          <w:p w:rsidR="00DF1EB6" w:rsidRDefault="002F1DC5">
            <w:pPr>
              <w:spacing w:after="0"/>
              <w:jc w:val="center"/>
            </w:pPr>
            <w:r>
              <w:rPr>
                <w:i/>
                <w:color w:val="000000"/>
              </w:rPr>
              <w:t xml:space="preserve">W imieniu Parlamentu Europejskiego </w:t>
            </w:r>
          </w:p>
        </w:tc>
        <w:tc>
          <w:tcPr>
            <w:tcW w:w="6142" w:type="dxa"/>
            <w:tcMar>
              <w:top w:w="15" w:type="dxa"/>
              <w:left w:w="15" w:type="dxa"/>
              <w:bottom w:w="15" w:type="dxa"/>
              <w:right w:w="15" w:type="dxa"/>
            </w:tcMar>
            <w:vAlign w:val="center"/>
          </w:tcPr>
          <w:p w:rsidR="00DF1EB6" w:rsidRDefault="002F1DC5">
            <w:pPr>
              <w:spacing w:after="0"/>
              <w:jc w:val="center"/>
            </w:pPr>
            <w:r>
              <w:rPr>
                <w:color w:val="000000"/>
              </w:rPr>
              <w:t>W imieniu Rady</w:t>
            </w:r>
          </w:p>
        </w:tc>
      </w:tr>
      <w:tr w:rsidR="00DF1EB6">
        <w:trPr>
          <w:trHeight w:val="30"/>
          <w:tblCellSpacing w:w="0" w:type="auto"/>
        </w:trPr>
        <w:tc>
          <w:tcPr>
            <w:tcW w:w="6143" w:type="dxa"/>
            <w:tcMar>
              <w:top w:w="15" w:type="dxa"/>
              <w:left w:w="15" w:type="dxa"/>
              <w:bottom w:w="15" w:type="dxa"/>
              <w:right w:w="15" w:type="dxa"/>
            </w:tcMar>
            <w:vAlign w:val="center"/>
          </w:tcPr>
          <w:p w:rsidR="00DF1EB6" w:rsidRDefault="002F1DC5">
            <w:pPr>
              <w:spacing w:after="0"/>
              <w:jc w:val="center"/>
            </w:pPr>
            <w:r>
              <w:rPr>
                <w:color w:val="000000"/>
              </w:rPr>
              <w:t xml:space="preserve">D.M. SASSOLI </w:t>
            </w:r>
          </w:p>
        </w:tc>
        <w:tc>
          <w:tcPr>
            <w:tcW w:w="6142" w:type="dxa"/>
            <w:tcMar>
              <w:top w:w="15" w:type="dxa"/>
              <w:left w:w="15" w:type="dxa"/>
              <w:bottom w:w="15" w:type="dxa"/>
              <w:right w:w="15" w:type="dxa"/>
            </w:tcMar>
            <w:vAlign w:val="center"/>
          </w:tcPr>
          <w:p w:rsidR="00DF1EB6" w:rsidRDefault="002F1DC5">
            <w:pPr>
              <w:spacing w:after="0"/>
              <w:jc w:val="center"/>
            </w:pPr>
            <w:r>
              <w:rPr>
                <w:color w:val="000000"/>
              </w:rPr>
              <w:t>T. TUPPURAINEN</w:t>
            </w:r>
          </w:p>
        </w:tc>
      </w:tr>
      <w:tr w:rsidR="00DF1EB6">
        <w:trPr>
          <w:trHeight w:val="30"/>
          <w:tblCellSpacing w:w="0" w:type="auto"/>
        </w:trPr>
        <w:tc>
          <w:tcPr>
            <w:tcW w:w="6143" w:type="dxa"/>
            <w:tcMar>
              <w:top w:w="15" w:type="dxa"/>
              <w:left w:w="15" w:type="dxa"/>
              <w:bottom w:w="15" w:type="dxa"/>
              <w:right w:w="15" w:type="dxa"/>
            </w:tcMar>
            <w:vAlign w:val="center"/>
          </w:tcPr>
          <w:p w:rsidR="00DF1EB6" w:rsidRDefault="002F1DC5">
            <w:pPr>
              <w:spacing w:after="0"/>
              <w:jc w:val="center"/>
            </w:pPr>
            <w:r>
              <w:rPr>
                <w:i/>
                <w:color w:val="000000"/>
              </w:rPr>
              <w:t xml:space="preserve">Przewodniczący </w:t>
            </w:r>
          </w:p>
        </w:tc>
        <w:tc>
          <w:tcPr>
            <w:tcW w:w="6142" w:type="dxa"/>
            <w:tcMar>
              <w:top w:w="15" w:type="dxa"/>
              <w:left w:w="15" w:type="dxa"/>
              <w:bottom w:w="15" w:type="dxa"/>
              <w:right w:w="15" w:type="dxa"/>
            </w:tcMar>
            <w:vAlign w:val="center"/>
          </w:tcPr>
          <w:p w:rsidR="00DF1EB6" w:rsidRDefault="002F1DC5">
            <w:pPr>
              <w:spacing w:after="0"/>
              <w:jc w:val="center"/>
            </w:pPr>
            <w:r>
              <w:rPr>
                <w:color w:val="000000"/>
              </w:rPr>
              <w:t>Przewodniczący</w:t>
            </w:r>
          </w:p>
        </w:tc>
      </w:tr>
    </w:tbl>
    <w:p w:rsidR="00DF1EB6" w:rsidRDefault="00DF1EB6">
      <w:pPr>
        <w:spacing w:after="0"/>
      </w:pPr>
    </w:p>
    <w:p w:rsidR="00DF1EB6" w:rsidRDefault="002F1DC5">
      <w:pPr>
        <w:spacing w:before="169" w:after="0"/>
        <w:jc w:val="center"/>
      </w:pPr>
      <w:r>
        <w:rPr>
          <w:b/>
          <w:color w:val="000000"/>
        </w:rPr>
        <w:t xml:space="preserve">ZAŁĄCZNIK </w:t>
      </w:r>
      <w:r>
        <w:rPr>
          <w:b/>
          <w:color w:val="000000"/>
          <w:vertAlign w:val="superscript"/>
        </w:rPr>
        <w:t>49</w:t>
      </w:r>
      <w:r>
        <w:rPr>
          <w:b/>
          <w:color w:val="000000"/>
        </w:rPr>
        <w:t xml:space="preserve">  </w:t>
      </w:r>
    </w:p>
    <w:p w:rsidR="00DF1EB6" w:rsidRDefault="00DF1EB6">
      <w:pPr>
        <w:spacing w:after="0"/>
      </w:pPr>
    </w:p>
    <w:p w:rsidR="00DF1EB6" w:rsidRDefault="002F1DC5">
      <w:pPr>
        <w:spacing w:before="236" w:after="0"/>
        <w:jc w:val="center"/>
      </w:pPr>
      <w:r>
        <w:rPr>
          <w:b/>
          <w:color w:val="000000"/>
        </w:rPr>
        <w:lastRenderedPageBreak/>
        <w:t>Część  I</w:t>
      </w:r>
    </w:p>
    <w:p w:rsidR="00DF1EB6" w:rsidRDefault="002F1DC5">
      <w:pPr>
        <w:spacing w:after="0"/>
      </w:pPr>
      <w:r>
        <w:rPr>
          <w:color w:val="000000"/>
        </w:rPr>
        <w:t xml:space="preserve">A. Art. 2 ust. 1 lit. a) </w:t>
      </w:r>
      <w:proofErr w:type="spellStart"/>
      <w:r>
        <w:rPr>
          <w:color w:val="000000"/>
        </w:rPr>
        <w:t>ppkt</w:t>
      </w:r>
      <w:proofErr w:type="spellEnd"/>
      <w:r>
        <w:rPr>
          <w:color w:val="000000"/>
        </w:rPr>
        <w:t xml:space="preserve"> (i) - zamówienia publiczne:</w:t>
      </w:r>
    </w:p>
    <w:p w:rsidR="00DF1EB6" w:rsidRDefault="002F1DC5">
      <w:pPr>
        <w:spacing w:before="26" w:after="0"/>
        <w:ind w:left="373"/>
      </w:pPr>
      <w:r>
        <w:rPr>
          <w:color w:val="000000"/>
        </w:rPr>
        <w:t xml:space="preserve">1. Przepisy dotyczące postępowania w zakresie: zamówień </w:t>
      </w:r>
      <w:r>
        <w:rPr>
          <w:color w:val="000000"/>
        </w:rPr>
        <w:t>publicznych i udzielania koncesji; udzielania zamówień w dziedzinie obronności i bezpieczeństwa; udzielania zamówień przez podmioty działające w dziedzinie gospodarki wodnej, energetyki, transportu i usług pocztowych i wszelkie inne zamówienia, ustanowione</w:t>
      </w:r>
      <w:r>
        <w:rPr>
          <w:color w:val="000000"/>
        </w:rPr>
        <w:t xml:space="preserve"> w następujących aktach prawnych:</w:t>
      </w:r>
    </w:p>
    <w:p w:rsidR="00DF1EB6" w:rsidRDefault="002F1DC5">
      <w:pPr>
        <w:spacing w:before="26" w:after="0"/>
        <w:ind w:left="746"/>
      </w:pPr>
      <w:r>
        <w:rPr>
          <w:color w:val="000000"/>
        </w:rPr>
        <w:t xml:space="preserve">(i) </w:t>
      </w:r>
      <w:r>
        <w:rPr>
          <w:color w:val="1B1B1B"/>
        </w:rPr>
        <w:t>dyrektywa</w:t>
      </w:r>
      <w:r>
        <w:rPr>
          <w:color w:val="000000"/>
        </w:rPr>
        <w:t xml:space="preserve"> Parlamentu Europejskiego i Rady 2014/23/UE z dnia 26 lutego 2014 r. w sprawie udzielania koncesji (</w:t>
      </w:r>
      <w:proofErr w:type="spellStart"/>
      <w:r>
        <w:rPr>
          <w:color w:val="000000"/>
        </w:rPr>
        <w:t>Dz.U</w:t>
      </w:r>
      <w:proofErr w:type="spellEnd"/>
      <w:r>
        <w:rPr>
          <w:color w:val="000000"/>
        </w:rPr>
        <w:t>. L 94 z 28.3.2014, s. 1);</w:t>
      </w:r>
    </w:p>
    <w:p w:rsidR="00DF1EB6" w:rsidRDefault="002F1DC5">
      <w:pPr>
        <w:spacing w:before="26" w:after="0"/>
        <w:ind w:left="746"/>
      </w:pPr>
      <w:r>
        <w:rPr>
          <w:color w:val="000000"/>
        </w:rPr>
        <w:t xml:space="preserve">(ii) </w:t>
      </w:r>
      <w:r>
        <w:rPr>
          <w:color w:val="1B1B1B"/>
        </w:rPr>
        <w:t>dyrektywa</w:t>
      </w:r>
      <w:r>
        <w:rPr>
          <w:color w:val="000000"/>
        </w:rPr>
        <w:t xml:space="preserve"> Parlamentu Europejskiego i Rady 2014/24/UE z dnia 26 lutego 201</w:t>
      </w:r>
      <w:r>
        <w:rPr>
          <w:color w:val="000000"/>
        </w:rPr>
        <w:t>4 r. w sprawie zamówień publicznych, uchylająca dyrektywę 2004/18/WE (</w:t>
      </w:r>
      <w:proofErr w:type="spellStart"/>
      <w:r>
        <w:rPr>
          <w:color w:val="000000"/>
        </w:rPr>
        <w:t>Dz.U</w:t>
      </w:r>
      <w:proofErr w:type="spellEnd"/>
      <w:r>
        <w:rPr>
          <w:color w:val="000000"/>
        </w:rPr>
        <w:t>. L 94 z 28.3.2014, s. 65);</w:t>
      </w:r>
    </w:p>
    <w:p w:rsidR="00DF1EB6" w:rsidRDefault="002F1DC5">
      <w:pPr>
        <w:spacing w:before="26" w:after="0"/>
        <w:ind w:left="746"/>
      </w:pPr>
      <w:r>
        <w:rPr>
          <w:color w:val="000000"/>
        </w:rPr>
        <w:t xml:space="preserve">(iii) </w:t>
      </w:r>
      <w:r>
        <w:rPr>
          <w:color w:val="1B1B1B"/>
        </w:rPr>
        <w:t>dyrektywa</w:t>
      </w:r>
      <w:r>
        <w:rPr>
          <w:color w:val="000000"/>
        </w:rPr>
        <w:t xml:space="preserve"> Parlamentu Europejskiego i Rady 2014/25/UE z dnia 26 lutego 2014 r. w sprawie udzielania zamówień przez podmioty działające w sektorach go</w:t>
      </w:r>
      <w:r>
        <w:rPr>
          <w:color w:val="000000"/>
        </w:rPr>
        <w:t>spodarki wodnej, energetyki, transportu i usług pocztowych, uchylająca dyrektywę 2004/17/WE (</w:t>
      </w:r>
      <w:proofErr w:type="spellStart"/>
      <w:r>
        <w:rPr>
          <w:color w:val="000000"/>
        </w:rPr>
        <w:t>Dz.U</w:t>
      </w:r>
      <w:proofErr w:type="spellEnd"/>
      <w:r>
        <w:rPr>
          <w:color w:val="000000"/>
        </w:rPr>
        <w:t>. L 94 z 28.3.2014, s. 243);</w:t>
      </w:r>
    </w:p>
    <w:p w:rsidR="00DF1EB6" w:rsidRDefault="002F1DC5">
      <w:pPr>
        <w:spacing w:before="26" w:after="0"/>
        <w:ind w:left="746"/>
      </w:pPr>
      <w:r>
        <w:rPr>
          <w:color w:val="000000"/>
        </w:rPr>
        <w:t xml:space="preserve">(iv) </w:t>
      </w:r>
      <w:r>
        <w:rPr>
          <w:color w:val="1B1B1B"/>
        </w:rPr>
        <w:t>dyrektywa</w:t>
      </w:r>
      <w:r>
        <w:rPr>
          <w:color w:val="000000"/>
        </w:rPr>
        <w:t xml:space="preserve"> Parlamentu Europejskiego i Rady 2009/81/WE z dnia 13 lipca 2009 r. w sprawie koordynacji procedur udzielania niektórych zamówień na roboty budowlane, dostawy i usługi przez instytucje lub podmioty zamawiające w dziedzinach obronności i bezpieczeństwa i zm</w:t>
      </w:r>
      <w:r>
        <w:rPr>
          <w:color w:val="000000"/>
        </w:rPr>
        <w:t>ieniająca dyrektywy 2004/17/WE i 2004/18/WE (</w:t>
      </w:r>
      <w:proofErr w:type="spellStart"/>
      <w:r>
        <w:rPr>
          <w:color w:val="000000"/>
        </w:rPr>
        <w:t>Dz.U</w:t>
      </w:r>
      <w:proofErr w:type="spellEnd"/>
      <w:r>
        <w:rPr>
          <w:color w:val="000000"/>
        </w:rPr>
        <w:t>. L 216 z 20.8.2009, s. 76).</w:t>
      </w:r>
    </w:p>
    <w:p w:rsidR="00DF1EB6" w:rsidRDefault="002F1DC5">
      <w:pPr>
        <w:spacing w:before="26" w:after="0"/>
        <w:ind w:left="373"/>
      </w:pPr>
      <w:r>
        <w:rPr>
          <w:color w:val="000000"/>
        </w:rPr>
        <w:t>2. Procedury odwoławcze, regulowane następującymi aktami prawnymi:</w:t>
      </w:r>
    </w:p>
    <w:p w:rsidR="00DF1EB6" w:rsidRDefault="002F1DC5">
      <w:pPr>
        <w:spacing w:after="0"/>
        <w:ind w:left="373"/>
      </w:pPr>
      <w:r>
        <w:rPr>
          <w:color w:val="000000"/>
        </w:rPr>
        <w:t xml:space="preserve">(i) </w:t>
      </w:r>
      <w:r>
        <w:rPr>
          <w:color w:val="1B1B1B"/>
        </w:rPr>
        <w:t>dyrektywa</w:t>
      </w:r>
      <w:r>
        <w:rPr>
          <w:color w:val="000000"/>
        </w:rPr>
        <w:t xml:space="preserve"> Rady 92/13/EWG z dnia 25 lutego 1992 r. koordynująca przepisy ustawowe, wykonawcze i administracy</w:t>
      </w:r>
      <w:r>
        <w:rPr>
          <w:color w:val="000000"/>
        </w:rPr>
        <w:t>jne odnoszące się do stosowania przepisów wspólnotowych w procedurach zamówień publicznych podmiotów działających w sektorach gospodarki wodnej, energetyki, transportu i telekomunikacji (</w:t>
      </w:r>
      <w:proofErr w:type="spellStart"/>
      <w:r>
        <w:rPr>
          <w:color w:val="000000"/>
        </w:rPr>
        <w:t>Dz.U</w:t>
      </w:r>
      <w:proofErr w:type="spellEnd"/>
      <w:r>
        <w:rPr>
          <w:color w:val="000000"/>
        </w:rPr>
        <w:t>. L 76 z 23.3.1992, s. 14);</w:t>
      </w:r>
    </w:p>
    <w:p w:rsidR="00DF1EB6" w:rsidRDefault="002F1DC5">
      <w:pPr>
        <w:spacing w:before="26" w:after="0"/>
        <w:ind w:left="746"/>
      </w:pPr>
      <w:r>
        <w:rPr>
          <w:color w:val="000000"/>
        </w:rPr>
        <w:t xml:space="preserve">(ii) </w:t>
      </w:r>
      <w:r>
        <w:rPr>
          <w:color w:val="1B1B1B"/>
        </w:rPr>
        <w:t>dyrektywa</w:t>
      </w:r>
      <w:r>
        <w:rPr>
          <w:color w:val="000000"/>
        </w:rPr>
        <w:t xml:space="preserve"> Rady 89/665/EWG z dnia</w:t>
      </w:r>
      <w:r>
        <w:rPr>
          <w:color w:val="000000"/>
        </w:rPr>
        <w:t xml:space="preserve"> 21 grudnia 1989 r. w sprawie koordynacji przepisów ustawowych, wykonawczych i administracyjnych odnoszących się do stosowania procedur odwoławczych w zakresie udzielania zamówień publicznych na dostawy i roboty budowlane (</w:t>
      </w:r>
      <w:proofErr w:type="spellStart"/>
      <w:r>
        <w:rPr>
          <w:color w:val="000000"/>
        </w:rPr>
        <w:t>Dz.U</w:t>
      </w:r>
      <w:proofErr w:type="spellEnd"/>
      <w:r>
        <w:rPr>
          <w:color w:val="000000"/>
        </w:rPr>
        <w:t>. L 395 z 30.12.1989, s. 33).</w:t>
      </w:r>
    </w:p>
    <w:p w:rsidR="00DF1EB6" w:rsidRDefault="002F1DC5">
      <w:pPr>
        <w:spacing w:after="0"/>
        <w:ind w:left="746"/>
      </w:pPr>
      <w:r>
        <w:rPr>
          <w:color w:val="000000"/>
        </w:rPr>
        <w:t xml:space="preserve">B. Art. 2 ust. 1 lit. a) </w:t>
      </w:r>
      <w:proofErr w:type="spellStart"/>
      <w:r>
        <w:rPr>
          <w:color w:val="000000"/>
        </w:rPr>
        <w:t>ppkt</w:t>
      </w:r>
      <w:proofErr w:type="spellEnd"/>
      <w:r>
        <w:rPr>
          <w:color w:val="000000"/>
        </w:rPr>
        <w:t xml:space="preserve"> (ii) - usługi, produkty i rynki finansowe oraz zapobieganie praniu pieniędzy i finansowaniu terroryzmu:</w:t>
      </w:r>
    </w:p>
    <w:p w:rsidR="00DF1EB6" w:rsidRDefault="002F1DC5">
      <w:pPr>
        <w:spacing w:before="25" w:after="0"/>
        <w:ind w:left="746"/>
        <w:jc w:val="both"/>
      </w:pPr>
      <w:r>
        <w:rPr>
          <w:color w:val="000000"/>
        </w:rPr>
        <w:t>Przepisy ustanawiające ramy regulacyjne i nadzorcze oraz ochronę konsumentów i inwestorów w zakresie unijnych usług finan</w:t>
      </w:r>
      <w:r>
        <w:rPr>
          <w:color w:val="000000"/>
        </w:rPr>
        <w:t>sowych oraz rynków kapitałowych, usług w zakresie bankowości, kredytów, inwestycji, ubezpieczeń i reasekuracji, produktów w zakresie emerytur zakładowych lub indywidualnych produktów emerytalnych, papierów wartościowych, funduszy inwestycyjnych, usług płat</w:t>
      </w:r>
      <w:r>
        <w:rPr>
          <w:color w:val="000000"/>
        </w:rPr>
        <w:t xml:space="preserve">niczych oraz działań wymienionych w </w:t>
      </w:r>
      <w:r>
        <w:rPr>
          <w:color w:val="1B1B1B"/>
        </w:rPr>
        <w:t>załączniku I</w:t>
      </w:r>
      <w:r>
        <w:rPr>
          <w:color w:val="000000"/>
        </w:rPr>
        <w:t xml:space="preserve"> do dyrektywy Parlamentu Europejskiego i Rady 2013/36/UE z dnia 26 czerwca 2013 r. w sprawie warunków dopuszczenia instytucji kredytowych do działalności oraz nadzoru </w:t>
      </w:r>
      <w:proofErr w:type="spellStart"/>
      <w:r>
        <w:rPr>
          <w:color w:val="000000"/>
        </w:rPr>
        <w:t>ostrożnościowego</w:t>
      </w:r>
      <w:proofErr w:type="spellEnd"/>
      <w:r>
        <w:rPr>
          <w:color w:val="000000"/>
        </w:rPr>
        <w:t xml:space="preserve"> nad instytucjami kredyto</w:t>
      </w:r>
      <w:r>
        <w:rPr>
          <w:color w:val="000000"/>
        </w:rPr>
        <w:t xml:space="preserve">wymi i firmami inwestycyjnymi, zmieniającej dyrektywę 2002/87/WE i </w:t>
      </w:r>
      <w:r>
        <w:rPr>
          <w:color w:val="000000"/>
        </w:rPr>
        <w:lastRenderedPageBreak/>
        <w:t>uchylającej dyrektywy 2006/48/WE oraz 2006/49/WE (</w:t>
      </w:r>
      <w:proofErr w:type="spellStart"/>
      <w:r>
        <w:rPr>
          <w:color w:val="000000"/>
        </w:rPr>
        <w:t>Dz.U</w:t>
      </w:r>
      <w:proofErr w:type="spellEnd"/>
      <w:r>
        <w:rPr>
          <w:color w:val="000000"/>
        </w:rPr>
        <w:t>. L 176 z 27.6.2013, s. 338), ustanowione w następujących aktach prawnych:</w:t>
      </w:r>
    </w:p>
    <w:p w:rsidR="00DF1EB6" w:rsidRDefault="002F1DC5">
      <w:pPr>
        <w:spacing w:after="0"/>
        <w:ind w:left="746"/>
      </w:pPr>
      <w:r>
        <w:rPr>
          <w:color w:val="000000"/>
        </w:rPr>
        <w:t xml:space="preserve">(i) </w:t>
      </w:r>
      <w:r>
        <w:rPr>
          <w:color w:val="1B1B1B"/>
        </w:rPr>
        <w:t>dyrektywa</w:t>
      </w:r>
      <w:r>
        <w:rPr>
          <w:color w:val="000000"/>
        </w:rPr>
        <w:t xml:space="preserve"> Parlamentu Europejskiego i Rady 2009/110/WE z </w:t>
      </w:r>
      <w:r>
        <w:rPr>
          <w:color w:val="000000"/>
        </w:rPr>
        <w:t xml:space="preserve">dnia 16 września 2009 r. w sprawie podejmowania i prowadzenia działalności przez instytucje pieniądza elektronicznego oraz nadzoru </w:t>
      </w:r>
      <w:proofErr w:type="spellStart"/>
      <w:r>
        <w:rPr>
          <w:color w:val="000000"/>
        </w:rPr>
        <w:t>ostrożnościowego</w:t>
      </w:r>
      <w:proofErr w:type="spellEnd"/>
      <w:r>
        <w:rPr>
          <w:color w:val="000000"/>
        </w:rPr>
        <w:t xml:space="preserve"> nad ich działalnością, zmieniająca dyrektywy </w:t>
      </w:r>
      <w:r>
        <w:rPr>
          <w:color w:val="1B1B1B"/>
        </w:rPr>
        <w:t>2005/60/WE</w:t>
      </w:r>
      <w:r>
        <w:rPr>
          <w:color w:val="000000"/>
        </w:rPr>
        <w:t xml:space="preserve"> i </w:t>
      </w:r>
      <w:r>
        <w:rPr>
          <w:color w:val="1B1B1B"/>
        </w:rPr>
        <w:t>2006/48/WE</w:t>
      </w:r>
      <w:r>
        <w:rPr>
          <w:color w:val="000000"/>
        </w:rPr>
        <w:t xml:space="preserve"> oraz uchylająca </w:t>
      </w:r>
      <w:r>
        <w:rPr>
          <w:color w:val="1B1B1B"/>
        </w:rPr>
        <w:t>dyrektywę</w:t>
      </w:r>
      <w:r>
        <w:rPr>
          <w:color w:val="000000"/>
        </w:rPr>
        <w:t xml:space="preserve"> 2000/46/WE (</w:t>
      </w:r>
      <w:proofErr w:type="spellStart"/>
      <w:r>
        <w:rPr>
          <w:color w:val="000000"/>
        </w:rPr>
        <w:t>Dz.U</w:t>
      </w:r>
      <w:proofErr w:type="spellEnd"/>
      <w:r>
        <w:rPr>
          <w:color w:val="000000"/>
        </w:rPr>
        <w:t>. L 267 z 10.10.2009, s. 7);</w:t>
      </w:r>
    </w:p>
    <w:p w:rsidR="00DF1EB6" w:rsidRDefault="002F1DC5">
      <w:pPr>
        <w:spacing w:before="26" w:after="0"/>
        <w:ind w:left="746"/>
      </w:pPr>
      <w:r>
        <w:rPr>
          <w:color w:val="000000"/>
        </w:rPr>
        <w:t xml:space="preserve">(ii) </w:t>
      </w:r>
      <w:r>
        <w:rPr>
          <w:color w:val="1B1B1B"/>
        </w:rPr>
        <w:t>dyrektywa</w:t>
      </w:r>
      <w:r>
        <w:rPr>
          <w:color w:val="000000"/>
        </w:rPr>
        <w:t xml:space="preserve"> Parlamentu Europejskiego i Rady 2011/61/UE z dnia 8 czerwca 2011 r. w sprawie zarządzających alternatywnymi funduszami inwestycyjnymi i zmiany dyrektyw 2003/41/WE i 2009/65/WE oraz rozporządzeń (</w:t>
      </w:r>
      <w:r>
        <w:rPr>
          <w:color w:val="000000"/>
        </w:rPr>
        <w:t>WE) nr 1060/2009 i (UE) nr 1095/2010 (</w:t>
      </w:r>
      <w:proofErr w:type="spellStart"/>
      <w:r>
        <w:rPr>
          <w:color w:val="000000"/>
        </w:rPr>
        <w:t>Dz.U</w:t>
      </w:r>
      <w:proofErr w:type="spellEnd"/>
      <w:r>
        <w:rPr>
          <w:color w:val="000000"/>
        </w:rPr>
        <w:t>. L 174 z 1.7.2011, s. 1);</w:t>
      </w:r>
    </w:p>
    <w:p w:rsidR="00DF1EB6" w:rsidRDefault="002F1DC5">
      <w:pPr>
        <w:spacing w:before="26" w:after="0"/>
        <w:ind w:left="746"/>
      </w:pPr>
      <w:r>
        <w:rPr>
          <w:color w:val="000000"/>
        </w:rPr>
        <w:t xml:space="preserve">(iii) </w:t>
      </w:r>
      <w:r>
        <w:rPr>
          <w:color w:val="1B1B1B"/>
        </w:rPr>
        <w:t>rozporządzenie</w:t>
      </w:r>
      <w:r>
        <w:rPr>
          <w:color w:val="000000"/>
        </w:rPr>
        <w:t xml:space="preserve"> Parlamentu Europejskiego i Rady (UE) nr 236/2012 z dnia 14 marca 2012 r. w sprawie krótkiej sprzedaży i wybranych aspektów dotyczących </w:t>
      </w:r>
      <w:proofErr w:type="spellStart"/>
      <w:r>
        <w:rPr>
          <w:color w:val="000000"/>
        </w:rPr>
        <w:t>swapów</w:t>
      </w:r>
      <w:proofErr w:type="spellEnd"/>
      <w:r>
        <w:rPr>
          <w:color w:val="000000"/>
        </w:rPr>
        <w:t xml:space="preserve"> ryzyka kredytowego (</w:t>
      </w:r>
      <w:proofErr w:type="spellStart"/>
      <w:r>
        <w:rPr>
          <w:color w:val="000000"/>
        </w:rPr>
        <w:t>Dz.U</w:t>
      </w:r>
      <w:proofErr w:type="spellEnd"/>
      <w:r>
        <w:rPr>
          <w:color w:val="000000"/>
        </w:rPr>
        <w:t>. L 86 z 24.3.2012, s. 1);</w:t>
      </w:r>
    </w:p>
    <w:p w:rsidR="00DF1EB6" w:rsidRDefault="002F1DC5">
      <w:pPr>
        <w:spacing w:before="26" w:after="0"/>
        <w:ind w:left="746"/>
      </w:pPr>
      <w:r>
        <w:rPr>
          <w:color w:val="000000"/>
        </w:rPr>
        <w:t xml:space="preserve">(iv) </w:t>
      </w:r>
      <w:r>
        <w:rPr>
          <w:color w:val="1B1B1B"/>
        </w:rPr>
        <w:t>rozporządzenie</w:t>
      </w:r>
      <w:r>
        <w:rPr>
          <w:color w:val="000000"/>
        </w:rPr>
        <w:t xml:space="preserve"> Parlamentu Europejskiego i Rady (UE) nr 345/2013 z dnia 17 kwietnia 2013 r. w sprawie europejskich funduszy </w:t>
      </w:r>
      <w:proofErr w:type="spellStart"/>
      <w:r>
        <w:rPr>
          <w:color w:val="000000"/>
        </w:rPr>
        <w:t>venture</w:t>
      </w:r>
      <w:proofErr w:type="spellEnd"/>
      <w:r>
        <w:rPr>
          <w:color w:val="000000"/>
        </w:rPr>
        <w:t xml:space="preserve"> capital (</w:t>
      </w:r>
      <w:proofErr w:type="spellStart"/>
      <w:r>
        <w:rPr>
          <w:color w:val="000000"/>
        </w:rPr>
        <w:t>Dz.U</w:t>
      </w:r>
      <w:proofErr w:type="spellEnd"/>
      <w:r>
        <w:rPr>
          <w:color w:val="000000"/>
        </w:rPr>
        <w:t>. L 115 z 25.4.2013, s. 1);</w:t>
      </w:r>
    </w:p>
    <w:p w:rsidR="00DF1EB6" w:rsidRDefault="002F1DC5">
      <w:pPr>
        <w:spacing w:before="26" w:after="0"/>
        <w:ind w:left="746"/>
      </w:pPr>
      <w:r>
        <w:rPr>
          <w:color w:val="000000"/>
        </w:rPr>
        <w:t xml:space="preserve">(v) </w:t>
      </w:r>
      <w:r>
        <w:rPr>
          <w:color w:val="1B1B1B"/>
        </w:rPr>
        <w:t>rozporządzenie</w:t>
      </w:r>
      <w:r>
        <w:rPr>
          <w:color w:val="000000"/>
        </w:rPr>
        <w:t xml:space="preserve"> Parlamentu Europejskiego i Rady (</w:t>
      </w:r>
      <w:r>
        <w:rPr>
          <w:color w:val="000000"/>
        </w:rPr>
        <w:t>UE) nr 346/2013 z dnia 17 kwietnia 2013 r. w sprawie europejskich funduszy na rzecz przedsiębiorczości społecznej (</w:t>
      </w:r>
      <w:proofErr w:type="spellStart"/>
      <w:r>
        <w:rPr>
          <w:color w:val="000000"/>
        </w:rPr>
        <w:t>Dz.U</w:t>
      </w:r>
      <w:proofErr w:type="spellEnd"/>
      <w:r>
        <w:rPr>
          <w:color w:val="000000"/>
        </w:rPr>
        <w:t>. L 115 z 25.4.2013, s. 18);</w:t>
      </w:r>
    </w:p>
    <w:p w:rsidR="00DF1EB6" w:rsidRDefault="002F1DC5">
      <w:pPr>
        <w:spacing w:before="26" w:after="0"/>
        <w:ind w:left="746"/>
      </w:pPr>
      <w:r>
        <w:rPr>
          <w:color w:val="000000"/>
        </w:rPr>
        <w:t xml:space="preserve">(vi) </w:t>
      </w:r>
      <w:r>
        <w:rPr>
          <w:color w:val="1B1B1B"/>
        </w:rPr>
        <w:t>dyrektywa</w:t>
      </w:r>
      <w:r>
        <w:rPr>
          <w:color w:val="000000"/>
        </w:rPr>
        <w:t xml:space="preserve"> Parlamentu Europejskiego i Rady 2014/17/UE z dnia 4 lutego 2014 r. w sprawie konsumenckich um</w:t>
      </w:r>
      <w:r>
        <w:rPr>
          <w:color w:val="000000"/>
        </w:rPr>
        <w:t>ów o kredyt związanych z nieruchomościami mieszkalnymi i zmieniająca dyrektywy 2008/48/WE i 2013/36/UE oraz rozporządzenie (UE) nr 1093/2010 (</w:t>
      </w:r>
      <w:proofErr w:type="spellStart"/>
      <w:r>
        <w:rPr>
          <w:color w:val="000000"/>
        </w:rPr>
        <w:t>Dz.U</w:t>
      </w:r>
      <w:proofErr w:type="spellEnd"/>
      <w:r>
        <w:rPr>
          <w:color w:val="000000"/>
        </w:rPr>
        <w:t>. L 60 z 28.2.2014, s. 34);</w:t>
      </w:r>
    </w:p>
    <w:p w:rsidR="00DF1EB6" w:rsidRDefault="002F1DC5">
      <w:pPr>
        <w:spacing w:before="26" w:after="0"/>
        <w:ind w:left="746"/>
      </w:pPr>
      <w:r>
        <w:rPr>
          <w:color w:val="000000"/>
        </w:rPr>
        <w:t xml:space="preserve">(vii) </w:t>
      </w:r>
      <w:r>
        <w:rPr>
          <w:color w:val="1B1B1B"/>
        </w:rPr>
        <w:t>rozporządzenie</w:t>
      </w:r>
      <w:r>
        <w:rPr>
          <w:color w:val="000000"/>
        </w:rPr>
        <w:t xml:space="preserve"> Parlamentu Europejskiego i Rady (UE) nr 537/2014 z dnia 16 kw</w:t>
      </w:r>
      <w:r>
        <w:rPr>
          <w:color w:val="000000"/>
        </w:rPr>
        <w:t>ietnia 2014 r. w sprawie szczegółowych wymogów dotyczących ustawowych badań sprawozdań finansowych jednostek interesu publicznego, uchylające decyzję Komisji 2005/909/WE (</w:t>
      </w:r>
      <w:proofErr w:type="spellStart"/>
      <w:r>
        <w:rPr>
          <w:color w:val="000000"/>
        </w:rPr>
        <w:t>Dz.U</w:t>
      </w:r>
      <w:proofErr w:type="spellEnd"/>
      <w:r>
        <w:rPr>
          <w:color w:val="000000"/>
        </w:rPr>
        <w:t>. L 158 z 27.5.2014, s. 77);</w:t>
      </w:r>
    </w:p>
    <w:p w:rsidR="00DF1EB6" w:rsidRDefault="002F1DC5">
      <w:pPr>
        <w:spacing w:before="26" w:after="0"/>
        <w:ind w:left="746"/>
      </w:pPr>
      <w:r>
        <w:rPr>
          <w:color w:val="000000"/>
        </w:rPr>
        <w:t xml:space="preserve">(viii) </w:t>
      </w:r>
      <w:r>
        <w:rPr>
          <w:color w:val="1B1B1B"/>
        </w:rPr>
        <w:t>rozporządzenie</w:t>
      </w:r>
      <w:r>
        <w:rPr>
          <w:color w:val="000000"/>
        </w:rPr>
        <w:t xml:space="preserve"> Parlamentu Europejskiego i Rad</w:t>
      </w:r>
      <w:r>
        <w:rPr>
          <w:color w:val="000000"/>
        </w:rPr>
        <w:t>y (UE) nr 600/2014 z dnia 15 maja 2014 r. w sprawie rynków instrumentów finansowych oraz zmieniające rozporządzenie (UE) nr 648/2012 (</w:t>
      </w:r>
      <w:proofErr w:type="spellStart"/>
      <w:r>
        <w:rPr>
          <w:color w:val="000000"/>
        </w:rPr>
        <w:t>Dz.U</w:t>
      </w:r>
      <w:proofErr w:type="spellEnd"/>
      <w:r>
        <w:rPr>
          <w:color w:val="000000"/>
        </w:rPr>
        <w:t>. L 173 z 12.6.2014, s. 84);</w:t>
      </w:r>
    </w:p>
    <w:p w:rsidR="00DF1EB6" w:rsidRDefault="002F1DC5">
      <w:pPr>
        <w:spacing w:before="26" w:after="0"/>
        <w:ind w:left="746"/>
      </w:pPr>
      <w:r>
        <w:rPr>
          <w:color w:val="000000"/>
        </w:rPr>
        <w:t xml:space="preserve">(ix) </w:t>
      </w:r>
      <w:r>
        <w:rPr>
          <w:color w:val="1B1B1B"/>
        </w:rPr>
        <w:t>dyrektywa</w:t>
      </w:r>
      <w:r>
        <w:rPr>
          <w:color w:val="000000"/>
        </w:rPr>
        <w:t xml:space="preserve"> Parlamentu Europejskiego i Rady (UE) 2015/2366 z dnia 25 listopada 2015 r.</w:t>
      </w:r>
      <w:r>
        <w:rPr>
          <w:color w:val="000000"/>
        </w:rPr>
        <w:t xml:space="preserve"> w sprawie usług płatniczych w ramach rynku wewnętrznego, zmieniająca dyrektywy 2002/65/WE, 2009/110/WE, 2013/36/UE i rozporządzenie (UE) nr 1093/2010 oraz uchylająca dyrektywę 2007/64/WE (</w:t>
      </w:r>
      <w:proofErr w:type="spellStart"/>
      <w:r>
        <w:rPr>
          <w:color w:val="000000"/>
        </w:rPr>
        <w:t>Dz.U</w:t>
      </w:r>
      <w:proofErr w:type="spellEnd"/>
      <w:r>
        <w:rPr>
          <w:color w:val="000000"/>
        </w:rPr>
        <w:t>. L 337 z 23.12.2015, s. 35);</w:t>
      </w:r>
    </w:p>
    <w:p w:rsidR="00DF1EB6" w:rsidRDefault="002F1DC5">
      <w:pPr>
        <w:spacing w:before="26" w:after="0"/>
        <w:ind w:left="746"/>
      </w:pPr>
      <w:r>
        <w:rPr>
          <w:color w:val="000000"/>
        </w:rPr>
        <w:t xml:space="preserve">(x) </w:t>
      </w:r>
      <w:r>
        <w:rPr>
          <w:color w:val="1B1B1B"/>
        </w:rPr>
        <w:t>dyrektywa</w:t>
      </w:r>
      <w:r>
        <w:rPr>
          <w:color w:val="000000"/>
        </w:rPr>
        <w:t xml:space="preserve"> 2004/25/WE Parlamen</w:t>
      </w:r>
      <w:r>
        <w:rPr>
          <w:color w:val="000000"/>
        </w:rPr>
        <w:t>tu Europejskiego i Rady z dnia 21 kwietnia 2004 r. w sprawie ofert przejęcia (</w:t>
      </w:r>
      <w:proofErr w:type="spellStart"/>
      <w:r>
        <w:rPr>
          <w:color w:val="000000"/>
        </w:rPr>
        <w:t>Dz.U</w:t>
      </w:r>
      <w:proofErr w:type="spellEnd"/>
      <w:r>
        <w:rPr>
          <w:color w:val="000000"/>
        </w:rPr>
        <w:t>. L 142 z 30.4.2004, s. 12);</w:t>
      </w:r>
    </w:p>
    <w:p w:rsidR="00DF1EB6" w:rsidRDefault="002F1DC5">
      <w:pPr>
        <w:spacing w:before="26" w:after="0"/>
        <w:ind w:left="746"/>
      </w:pPr>
      <w:r>
        <w:rPr>
          <w:color w:val="000000"/>
        </w:rPr>
        <w:t xml:space="preserve">(xi) </w:t>
      </w:r>
      <w:r>
        <w:rPr>
          <w:color w:val="1B1B1B"/>
        </w:rPr>
        <w:t>dyrektywa</w:t>
      </w:r>
      <w:r>
        <w:rPr>
          <w:color w:val="000000"/>
        </w:rPr>
        <w:t xml:space="preserve"> 2007/36/WE Parlamentu Europejskiego i Rady z dnia 11 lipca 2007 r. w sprawie wykonywania niektórych praw akcjonariuszy spółek noto</w:t>
      </w:r>
      <w:r>
        <w:rPr>
          <w:color w:val="000000"/>
        </w:rPr>
        <w:t>wanych na rynku regulowanym (</w:t>
      </w:r>
      <w:proofErr w:type="spellStart"/>
      <w:r>
        <w:rPr>
          <w:color w:val="000000"/>
        </w:rPr>
        <w:t>Dz.U</w:t>
      </w:r>
      <w:proofErr w:type="spellEnd"/>
      <w:r>
        <w:rPr>
          <w:color w:val="000000"/>
        </w:rPr>
        <w:t>. L 184 z 14.7.2007, s. 17);</w:t>
      </w:r>
    </w:p>
    <w:p w:rsidR="00DF1EB6" w:rsidRDefault="002F1DC5">
      <w:pPr>
        <w:spacing w:before="26" w:after="0"/>
        <w:ind w:left="746"/>
      </w:pPr>
      <w:r>
        <w:rPr>
          <w:color w:val="000000"/>
        </w:rPr>
        <w:t xml:space="preserve">(xii) </w:t>
      </w:r>
      <w:r>
        <w:rPr>
          <w:color w:val="1B1B1B"/>
        </w:rPr>
        <w:t>dyrektywa</w:t>
      </w:r>
      <w:r>
        <w:rPr>
          <w:color w:val="000000"/>
        </w:rPr>
        <w:t xml:space="preserve"> 2004/109/WE Parlamentu Europejskiego i Rady z dnia 15 grudnia 2004 r. w sprawie harmonizacji wymogów dotyczących przejrzystości informacji o </w:t>
      </w:r>
      <w:r>
        <w:rPr>
          <w:color w:val="000000"/>
        </w:rPr>
        <w:lastRenderedPageBreak/>
        <w:t>emitentach, których papiery wartościo</w:t>
      </w:r>
      <w:r>
        <w:rPr>
          <w:color w:val="000000"/>
        </w:rPr>
        <w:t>we dopuszczane są do obrotu na rynku regulowanym oraz zmieniająca dyrektywę 2001/34/WE (</w:t>
      </w:r>
      <w:proofErr w:type="spellStart"/>
      <w:r>
        <w:rPr>
          <w:color w:val="000000"/>
        </w:rPr>
        <w:t>Dz.U</w:t>
      </w:r>
      <w:proofErr w:type="spellEnd"/>
      <w:r>
        <w:rPr>
          <w:color w:val="000000"/>
        </w:rPr>
        <w:t>. L 390 z 31.12.2004, s. 38);</w:t>
      </w:r>
    </w:p>
    <w:p w:rsidR="00DF1EB6" w:rsidRDefault="002F1DC5">
      <w:pPr>
        <w:spacing w:before="26" w:after="0"/>
        <w:ind w:left="746"/>
      </w:pPr>
      <w:r>
        <w:rPr>
          <w:color w:val="000000"/>
        </w:rPr>
        <w:t xml:space="preserve">(xiii) </w:t>
      </w:r>
      <w:r>
        <w:rPr>
          <w:color w:val="1B1B1B"/>
        </w:rPr>
        <w:t>rozporządzenie</w:t>
      </w:r>
      <w:r>
        <w:rPr>
          <w:color w:val="000000"/>
        </w:rPr>
        <w:t xml:space="preserve"> Parlamentu Europejskiego i Rady (UE) nr 648/2012 z dnia 4 lipca 2012 r. w sprawie instrumentów pochodnych będący</w:t>
      </w:r>
      <w:r>
        <w:rPr>
          <w:color w:val="000000"/>
        </w:rPr>
        <w:t>ch przedmiotem obrotu poza rynkiem regulowanym, kontrahentów centralnych i repozytoriów transakcji (</w:t>
      </w:r>
      <w:proofErr w:type="spellStart"/>
      <w:r>
        <w:rPr>
          <w:color w:val="000000"/>
        </w:rPr>
        <w:t>Dz.U</w:t>
      </w:r>
      <w:proofErr w:type="spellEnd"/>
      <w:r>
        <w:rPr>
          <w:color w:val="000000"/>
        </w:rPr>
        <w:t>. L 201 z 27.7.2012, s. 1);</w:t>
      </w:r>
    </w:p>
    <w:p w:rsidR="00DF1EB6" w:rsidRDefault="002F1DC5">
      <w:pPr>
        <w:spacing w:before="26" w:after="0"/>
        <w:ind w:left="746"/>
      </w:pPr>
      <w:r>
        <w:rPr>
          <w:color w:val="000000"/>
        </w:rPr>
        <w:t xml:space="preserve">(xiv) </w:t>
      </w:r>
      <w:r>
        <w:rPr>
          <w:color w:val="1B1B1B"/>
        </w:rPr>
        <w:t>rozporządzenie</w:t>
      </w:r>
      <w:r>
        <w:rPr>
          <w:color w:val="000000"/>
        </w:rPr>
        <w:t xml:space="preserve"> Parlamentu Europejskiego i Rady (UE) 2016/1011 z dnia 8 czerwca 2016 r. w sprawie indeksów stosowanych </w:t>
      </w:r>
      <w:r>
        <w:rPr>
          <w:color w:val="000000"/>
        </w:rPr>
        <w:t>jako wskaźniki referencyjne w instrumentach finansowych i umowach finansowych lub do pomiaru wyników funduszy inwestycyjnych i zmieniające dyrektywy 2008/48/WE i 2014/17/UE oraz rozporządzenie (UE) nr 596/2014 (</w:t>
      </w:r>
      <w:proofErr w:type="spellStart"/>
      <w:r>
        <w:rPr>
          <w:color w:val="000000"/>
        </w:rPr>
        <w:t>Dz.U</w:t>
      </w:r>
      <w:proofErr w:type="spellEnd"/>
      <w:r>
        <w:rPr>
          <w:color w:val="000000"/>
        </w:rPr>
        <w:t>. L 171 z 29.6.2016, s. 1);</w:t>
      </w:r>
    </w:p>
    <w:p w:rsidR="00DF1EB6" w:rsidRDefault="002F1DC5">
      <w:pPr>
        <w:spacing w:before="26" w:after="0"/>
        <w:ind w:left="746"/>
      </w:pPr>
      <w:r>
        <w:rPr>
          <w:color w:val="000000"/>
        </w:rPr>
        <w:t xml:space="preserve">(xv) </w:t>
      </w:r>
      <w:r>
        <w:rPr>
          <w:color w:val="1B1B1B"/>
        </w:rPr>
        <w:t>dyrektyw</w:t>
      </w:r>
      <w:r>
        <w:rPr>
          <w:color w:val="1B1B1B"/>
        </w:rPr>
        <w:t>a</w:t>
      </w:r>
      <w:r>
        <w:rPr>
          <w:color w:val="000000"/>
        </w:rPr>
        <w:t xml:space="preserve"> Parlamentu Europejskiego i Rady 2009/138/WE z dnia 25 listopada 2009 r. w sprawie podejmowania i prowadzenia działalności ubezpieczeniowej i reasekuracyjnej (Wypłacalność II) (</w:t>
      </w:r>
      <w:proofErr w:type="spellStart"/>
      <w:r>
        <w:rPr>
          <w:color w:val="000000"/>
        </w:rPr>
        <w:t>Dz.U</w:t>
      </w:r>
      <w:proofErr w:type="spellEnd"/>
      <w:r>
        <w:rPr>
          <w:color w:val="000000"/>
        </w:rPr>
        <w:t>. L 335 z 17.12.2009, s. 1);</w:t>
      </w:r>
    </w:p>
    <w:p w:rsidR="00DF1EB6" w:rsidRDefault="002F1DC5">
      <w:pPr>
        <w:spacing w:before="26" w:after="0"/>
        <w:ind w:left="746"/>
      </w:pPr>
      <w:r>
        <w:rPr>
          <w:color w:val="000000"/>
        </w:rPr>
        <w:t xml:space="preserve">(xvi) </w:t>
      </w:r>
      <w:r>
        <w:rPr>
          <w:color w:val="1B1B1B"/>
        </w:rPr>
        <w:t>dyrektywa</w:t>
      </w:r>
      <w:r>
        <w:rPr>
          <w:color w:val="000000"/>
        </w:rPr>
        <w:t xml:space="preserve"> Parlamentu Europejskiego i Ra</w:t>
      </w:r>
      <w:r>
        <w:rPr>
          <w:color w:val="000000"/>
        </w:rPr>
        <w:t>dy 2014/59/UE z dnia 15 maja 2014 r. ustanawiająca ramy na potrzeby prowadzenia działań naprawczych oraz restrukturyzacji i uporządkowanej likwidacji w odniesieniu do instytucji kredytowych i firm inwestycyjnych oraz zmieniająca dyrektywę Rady 82/891/EWG i</w:t>
      </w:r>
      <w:r>
        <w:rPr>
          <w:color w:val="000000"/>
        </w:rPr>
        <w:t xml:space="preserve"> dyrektywy 2001/24/WE, 2002/47/WE, 2004/25/WE, 2005/56/WE, 2007/36/WE, 2011/35/UE, 2012/30/UE i 2013/36/UE oraz rozporządzenia Parlamentu Europejskiego i Rady (UE) nr 1093/2010 i (UE) nr 648/2012 (</w:t>
      </w:r>
      <w:proofErr w:type="spellStart"/>
      <w:r>
        <w:rPr>
          <w:color w:val="000000"/>
        </w:rPr>
        <w:t>Dz.U</w:t>
      </w:r>
      <w:proofErr w:type="spellEnd"/>
      <w:r>
        <w:rPr>
          <w:color w:val="000000"/>
        </w:rPr>
        <w:t>. L 173 z 12.6.2014, s. 190);</w:t>
      </w:r>
    </w:p>
    <w:p w:rsidR="00DF1EB6" w:rsidRDefault="002F1DC5">
      <w:pPr>
        <w:spacing w:before="26" w:after="0"/>
        <w:ind w:left="746"/>
      </w:pPr>
      <w:r>
        <w:rPr>
          <w:color w:val="000000"/>
        </w:rPr>
        <w:t xml:space="preserve">(xvii) </w:t>
      </w:r>
      <w:r>
        <w:rPr>
          <w:color w:val="1B1B1B"/>
        </w:rPr>
        <w:t>dyrektywa</w:t>
      </w:r>
      <w:r>
        <w:rPr>
          <w:color w:val="000000"/>
        </w:rPr>
        <w:t xml:space="preserve"> 2002/87/</w:t>
      </w:r>
      <w:r>
        <w:rPr>
          <w:color w:val="000000"/>
        </w:rPr>
        <w:t>WE Parlamentu Europejskiego i Rady z dnia 16 grudnia 2002 r. w sprawie dodatkowego nadzoru nad instytucjami kredytowymi, zakładami ubezpieczeń oraz przedsiębiorstwami inwestycyjnymi konglomeratu finansowego i zmieniająca dyrektywy Rady 73/239/EWG, 79/267/E</w:t>
      </w:r>
      <w:r>
        <w:rPr>
          <w:color w:val="000000"/>
        </w:rPr>
        <w:t>WG, 92/49/EWG, 92/96/EWG, 93/6/EWG i 93/22/EWG oraz dyrektywy 98/78/WE i 2000/12/WE Parlamentu Europejskiego i Rady (</w:t>
      </w:r>
      <w:proofErr w:type="spellStart"/>
      <w:r>
        <w:rPr>
          <w:color w:val="000000"/>
        </w:rPr>
        <w:t>Dz.U</w:t>
      </w:r>
      <w:proofErr w:type="spellEnd"/>
      <w:r>
        <w:rPr>
          <w:color w:val="000000"/>
        </w:rPr>
        <w:t>. L 35 z 11.2.2003, s. 1);</w:t>
      </w:r>
    </w:p>
    <w:p w:rsidR="00DF1EB6" w:rsidRDefault="002F1DC5">
      <w:pPr>
        <w:spacing w:before="26" w:after="0"/>
        <w:ind w:left="746"/>
      </w:pPr>
      <w:r>
        <w:rPr>
          <w:color w:val="000000"/>
        </w:rPr>
        <w:t xml:space="preserve">(xviii) </w:t>
      </w:r>
      <w:r>
        <w:rPr>
          <w:color w:val="1B1B1B"/>
        </w:rPr>
        <w:t>dyrektywa</w:t>
      </w:r>
      <w:r>
        <w:rPr>
          <w:color w:val="000000"/>
        </w:rPr>
        <w:t xml:space="preserve"> Parlamentu Europejskiego i Rady 2014/49/UE z dnia 16 kwietnia 2014 r. w sprawie systemów g</w:t>
      </w:r>
      <w:r>
        <w:rPr>
          <w:color w:val="000000"/>
        </w:rPr>
        <w:t>warancji depozytów (</w:t>
      </w:r>
      <w:proofErr w:type="spellStart"/>
      <w:r>
        <w:rPr>
          <w:color w:val="000000"/>
        </w:rPr>
        <w:t>Dz.U</w:t>
      </w:r>
      <w:proofErr w:type="spellEnd"/>
      <w:r>
        <w:rPr>
          <w:color w:val="000000"/>
        </w:rPr>
        <w:t>. L 173 z 12.6.2014, s. 149);</w:t>
      </w:r>
    </w:p>
    <w:p w:rsidR="00DF1EB6" w:rsidRDefault="002F1DC5">
      <w:pPr>
        <w:spacing w:before="26" w:after="0"/>
        <w:ind w:left="746"/>
      </w:pPr>
      <w:r>
        <w:rPr>
          <w:color w:val="000000"/>
        </w:rPr>
        <w:t xml:space="preserve">(xix) </w:t>
      </w:r>
      <w:r>
        <w:rPr>
          <w:color w:val="1B1B1B"/>
        </w:rPr>
        <w:t>dyrektywa</w:t>
      </w:r>
      <w:r>
        <w:rPr>
          <w:color w:val="000000"/>
        </w:rPr>
        <w:t xml:space="preserve"> 97/9/WE Parlamentu Europejskiego i Rady z dnia 3 marca 1997 r. w sprawie systemów rekompensat dla inwestorów (</w:t>
      </w:r>
      <w:proofErr w:type="spellStart"/>
      <w:r>
        <w:rPr>
          <w:color w:val="000000"/>
        </w:rPr>
        <w:t>Dz.U</w:t>
      </w:r>
      <w:proofErr w:type="spellEnd"/>
      <w:r>
        <w:rPr>
          <w:color w:val="000000"/>
        </w:rPr>
        <w:t>. L 84 z 26.3.1997, s. 22);</w:t>
      </w:r>
    </w:p>
    <w:p w:rsidR="00DF1EB6" w:rsidRDefault="002F1DC5">
      <w:pPr>
        <w:spacing w:before="26" w:after="0"/>
        <w:ind w:left="746"/>
      </w:pPr>
      <w:r>
        <w:rPr>
          <w:color w:val="000000"/>
        </w:rPr>
        <w:t xml:space="preserve">(xx) </w:t>
      </w:r>
      <w:r>
        <w:rPr>
          <w:color w:val="1B1B1B"/>
        </w:rPr>
        <w:t>rozporządzenie</w:t>
      </w:r>
      <w:r>
        <w:rPr>
          <w:color w:val="000000"/>
        </w:rPr>
        <w:t xml:space="preserve"> Parlamentu Europejskiego i Rady (UE) nr 575/2013 z dnia 26 czerwca 2013 r. w sprawie wymogów </w:t>
      </w:r>
      <w:proofErr w:type="spellStart"/>
      <w:r>
        <w:rPr>
          <w:color w:val="000000"/>
        </w:rPr>
        <w:t>ostrożnościowych</w:t>
      </w:r>
      <w:proofErr w:type="spellEnd"/>
      <w:r>
        <w:rPr>
          <w:color w:val="000000"/>
        </w:rPr>
        <w:t xml:space="preserve"> dla instytucji kredytowych i firm inwestycyjnych, zmieniające rozporządzenie (UE) nr 648/2012 (</w:t>
      </w:r>
      <w:proofErr w:type="spellStart"/>
      <w:r>
        <w:rPr>
          <w:color w:val="000000"/>
        </w:rPr>
        <w:t>Dz.U</w:t>
      </w:r>
      <w:proofErr w:type="spellEnd"/>
      <w:r>
        <w:rPr>
          <w:color w:val="000000"/>
        </w:rPr>
        <w:t>. L 176 z 27.6.2013, s. 1);</w:t>
      </w:r>
    </w:p>
    <w:p w:rsidR="00DF1EB6" w:rsidRDefault="002F1DC5">
      <w:pPr>
        <w:spacing w:before="26" w:after="0"/>
        <w:ind w:left="746"/>
      </w:pPr>
      <w:r>
        <w:rPr>
          <w:color w:val="000000"/>
        </w:rPr>
        <w:t xml:space="preserve">(xxi) </w:t>
      </w:r>
      <w:r>
        <w:rPr>
          <w:color w:val="1B1B1B"/>
        </w:rPr>
        <w:t>rozporządzen</w:t>
      </w:r>
      <w:r>
        <w:rPr>
          <w:color w:val="1B1B1B"/>
        </w:rPr>
        <w:t>ie</w:t>
      </w:r>
      <w:r>
        <w:rPr>
          <w:color w:val="000000"/>
        </w:rPr>
        <w:t xml:space="preserve"> Parlamentu Europejskiego i Rady (UE) 2020/1503 z dnia 7 października 2020 r. w sprawie europejskich dostawców usług finansowania </w:t>
      </w:r>
      <w:proofErr w:type="spellStart"/>
      <w:r>
        <w:rPr>
          <w:color w:val="000000"/>
        </w:rPr>
        <w:t>społecznościowego</w:t>
      </w:r>
      <w:proofErr w:type="spellEnd"/>
      <w:r>
        <w:rPr>
          <w:color w:val="000000"/>
        </w:rPr>
        <w:t xml:space="preserve"> dla przedsięwzięć gospodarczych oraz zmieniające rozporządzenie (UE) 2017/1129 i dyrektywę (UE) 2019/1937 </w:t>
      </w:r>
      <w:r>
        <w:rPr>
          <w:color w:val="000000"/>
        </w:rPr>
        <w:t>(</w:t>
      </w:r>
      <w:proofErr w:type="spellStart"/>
      <w:r>
        <w:rPr>
          <w:color w:val="000000"/>
        </w:rPr>
        <w:t>Dz.U</w:t>
      </w:r>
      <w:proofErr w:type="spellEnd"/>
      <w:r>
        <w:rPr>
          <w:color w:val="000000"/>
        </w:rPr>
        <w:t>. L 347 z 20.10.2020, s. 1).</w:t>
      </w:r>
    </w:p>
    <w:p w:rsidR="00DF1EB6" w:rsidRDefault="002F1DC5">
      <w:pPr>
        <w:spacing w:after="0"/>
        <w:ind w:left="746"/>
      </w:pPr>
      <w:r>
        <w:rPr>
          <w:color w:val="000000"/>
        </w:rPr>
        <w:t xml:space="preserve">C. Art. 2 ust. 1 lit. a) </w:t>
      </w:r>
      <w:proofErr w:type="spellStart"/>
      <w:r>
        <w:rPr>
          <w:color w:val="000000"/>
        </w:rPr>
        <w:t>ppkt</w:t>
      </w:r>
      <w:proofErr w:type="spellEnd"/>
      <w:r>
        <w:rPr>
          <w:color w:val="000000"/>
        </w:rPr>
        <w:t xml:space="preserve"> (iii) - bezpieczeństwo produktów i ich zgodność z wymogami:</w:t>
      </w:r>
    </w:p>
    <w:p w:rsidR="00DF1EB6" w:rsidRDefault="002F1DC5">
      <w:pPr>
        <w:spacing w:before="26" w:after="0"/>
        <w:ind w:left="373"/>
      </w:pPr>
      <w:r>
        <w:rPr>
          <w:color w:val="000000"/>
        </w:rPr>
        <w:lastRenderedPageBreak/>
        <w:t>1. Wymogi w zakresie bezpieczeństwa i zgodności produktów wprowadzanych do obrotu w Unii, określone i regulowane następującymi aktam</w:t>
      </w:r>
      <w:r>
        <w:rPr>
          <w:color w:val="000000"/>
        </w:rPr>
        <w:t>i prawnymi:</w:t>
      </w:r>
    </w:p>
    <w:p w:rsidR="00DF1EB6" w:rsidRDefault="002F1DC5">
      <w:pPr>
        <w:spacing w:after="0"/>
        <w:ind w:left="373"/>
      </w:pPr>
      <w:r>
        <w:rPr>
          <w:color w:val="000000"/>
        </w:rPr>
        <w:t xml:space="preserve">(i) </w:t>
      </w:r>
      <w:r>
        <w:rPr>
          <w:color w:val="1B1B1B"/>
        </w:rPr>
        <w:t>dyrektywa</w:t>
      </w:r>
      <w:r>
        <w:rPr>
          <w:color w:val="000000"/>
        </w:rPr>
        <w:t xml:space="preserve"> 2001/95/WE Parlamentu Europejskiego i Rady z dnia 3 grudnia 2001 r. w sprawie ogólnego bezpieczeństwa produktów (</w:t>
      </w:r>
      <w:proofErr w:type="spellStart"/>
      <w:r>
        <w:rPr>
          <w:color w:val="000000"/>
        </w:rPr>
        <w:t>Dz.U</w:t>
      </w:r>
      <w:proofErr w:type="spellEnd"/>
      <w:r>
        <w:rPr>
          <w:color w:val="000000"/>
        </w:rPr>
        <w:t>. L 11 z 15.1.2002, s. 4);</w:t>
      </w:r>
    </w:p>
    <w:p w:rsidR="00DF1EB6" w:rsidRDefault="002F1DC5">
      <w:pPr>
        <w:spacing w:before="26" w:after="0"/>
        <w:ind w:left="746"/>
      </w:pPr>
      <w:r>
        <w:rPr>
          <w:color w:val="000000"/>
        </w:rPr>
        <w:t xml:space="preserve">(ii) </w:t>
      </w:r>
      <w:r>
        <w:rPr>
          <w:color w:val="000000"/>
        </w:rPr>
        <w:t xml:space="preserve">prawodawstwo </w:t>
      </w:r>
      <w:proofErr w:type="spellStart"/>
      <w:r>
        <w:rPr>
          <w:color w:val="000000"/>
        </w:rPr>
        <w:t>harmonizacyjne</w:t>
      </w:r>
      <w:proofErr w:type="spellEnd"/>
      <w:r>
        <w:rPr>
          <w:color w:val="000000"/>
        </w:rPr>
        <w:t xml:space="preserve"> Unii dotyczące wytworzonych produktów - w tym w zakresie wymogów dotyczących etykietowania - niebędących produktem żywnościowym, paszą, produktem leczniczym stosowanym u ludzi i do celów weterynaryjnych, żywym zwierzęciem i rośl</w:t>
      </w:r>
      <w:r>
        <w:rPr>
          <w:color w:val="000000"/>
        </w:rPr>
        <w:t xml:space="preserve">iną, produktem pochodzenia ludzkiego ani produktem uzyskanym z roślin lub zwierząt związanym bezpośrednio z ich przyszłą reprodukcją zgodnie z wykazem zawartym w </w:t>
      </w:r>
      <w:r>
        <w:rPr>
          <w:color w:val="1B1B1B"/>
        </w:rPr>
        <w:t>załącznikach I</w:t>
      </w:r>
      <w:r>
        <w:rPr>
          <w:color w:val="000000"/>
        </w:rPr>
        <w:t xml:space="preserve"> </w:t>
      </w:r>
      <w:proofErr w:type="spellStart"/>
      <w:r>
        <w:rPr>
          <w:color w:val="000000"/>
        </w:rPr>
        <w:t>i</w:t>
      </w:r>
      <w:proofErr w:type="spellEnd"/>
      <w:r>
        <w:rPr>
          <w:color w:val="000000"/>
        </w:rPr>
        <w:t xml:space="preserve"> </w:t>
      </w:r>
      <w:r>
        <w:rPr>
          <w:color w:val="1B1B1B"/>
        </w:rPr>
        <w:t>II</w:t>
      </w:r>
      <w:r>
        <w:rPr>
          <w:color w:val="000000"/>
        </w:rPr>
        <w:t xml:space="preserve"> do rozporządzenia Parlamentu Europejskiego i Rady (UE) 2019/1020 z dnia 20</w:t>
      </w:r>
      <w:r>
        <w:rPr>
          <w:color w:val="000000"/>
        </w:rPr>
        <w:t xml:space="preserve"> czerwca 2019 r. w sprawie nadzoru rynku i zgodności produktów oraz zmieniającego dyrektywę 2004/42/WE oraz rozporządzenia (WE) nr 765/2008 i (UE) nr 305/2011 (</w:t>
      </w:r>
      <w:proofErr w:type="spellStart"/>
      <w:r>
        <w:rPr>
          <w:color w:val="000000"/>
        </w:rPr>
        <w:t>Dz.U</w:t>
      </w:r>
      <w:proofErr w:type="spellEnd"/>
      <w:r>
        <w:rPr>
          <w:color w:val="000000"/>
        </w:rPr>
        <w:t>. L 169 z 25.6.2019, s. 1);</w:t>
      </w:r>
    </w:p>
    <w:p w:rsidR="00DF1EB6" w:rsidRDefault="002F1DC5">
      <w:pPr>
        <w:spacing w:before="26" w:after="0"/>
        <w:ind w:left="746"/>
      </w:pPr>
      <w:r>
        <w:rPr>
          <w:color w:val="000000"/>
        </w:rPr>
        <w:t xml:space="preserve">(iii) </w:t>
      </w:r>
      <w:r>
        <w:rPr>
          <w:color w:val="1B1B1B"/>
        </w:rPr>
        <w:t>dyrektywa</w:t>
      </w:r>
      <w:r>
        <w:rPr>
          <w:color w:val="000000"/>
        </w:rPr>
        <w:t xml:space="preserve"> 2007/46/WE Parlamentu Europejskiego i Rady z dni</w:t>
      </w:r>
      <w:r>
        <w:rPr>
          <w:color w:val="000000"/>
        </w:rPr>
        <w:t>a 5 września 2007 r. ustanawiająca ramy dla homologacji pojazdów silnikowych i ich przyczep oraz układów, części i oddzielnych zespołów technicznych przeznaczonych do tych pojazdów ("dyrektywa ramowa") (</w:t>
      </w:r>
      <w:proofErr w:type="spellStart"/>
      <w:r>
        <w:rPr>
          <w:color w:val="000000"/>
        </w:rPr>
        <w:t>Dz.U</w:t>
      </w:r>
      <w:proofErr w:type="spellEnd"/>
      <w:r>
        <w:rPr>
          <w:color w:val="000000"/>
        </w:rPr>
        <w:t>. L 263 z 9.10.2007, s. 1).</w:t>
      </w:r>
    </w:p>
    <w:p w:rsidR="00DF1EB6" w:rsidRDefault="002F1DC5">
      <w:pPr>
        <w:spacing w:before="26" w:after="0"/>
        <w:ind w:left="373"/>
      </w:pPr>
      <w:r>
        <w:rPr>
          <w:color w:val="000000"/>
        </w:rPr>
        <w:t>2. Przepisy dotyczące</w:t>
      </w:r>
      <w:r>
        <w:rPr>
          <w:color w:val="000000"/>
        </w:rPr>
        <w:t xml:space="preserve"> wprowadzania do obrotu oraz stosowania produktów wrażliwych i niebezpiecznych, ustanowione w następujących aktach prawnych:</w:t>
      </w:r>
    </w:p>
    <w:p w:rsidR="00DF1EB6" w:rsidRDefault="002F1DC5">
      <w:pPr>
        <w:spacing w:after="0"/>
        <w:ind w:left="373"/>
      </w:pPr>
      <w:r>
        <w:rPr>
          <w:color w:val="000000"/>
        </w:rPr>
        <w:t xml:space="preserve">(i) </w:t>
      </w:r>
      <w:r>
        <w:rPr>
          <w:color w:val="1B1B1B"/>
        </w:rPr>
        <w:t>dyrektywa</w:t>
      </w:r>
      <w:r>
        <w:rPr>
          <w:color w:val="000000"/>
        </w:rPr>
        <w:t xml:space="preserve"> Parlamentu Europejskiego i Rady 2009/43/WE z dnia 6 maja 2009 r. w sprawie uproszczenia warunków transferów produktów</w:t>
      </w:r>
      <w:r>
        <w:rPr>
          <w:color w:val="000000"/>
        </w:rPr>
        <w:t xml:space="preserve"> związanych z obronnością we Wspólnocie (</w:t>
      </w:r>
      <w:proofErr w:type="spellStart"/>
      <w:r>
        <w:rPr>
          <w:color w:val="000000"/>
        </w:rPr>
        <w:t>Dz.U</w:t>
      </w:r>
      <w:proofErr w:type="spellEnd"/>
      <w:r>
        <w:rPr>
          <w:color w:val="000000"/>
        </w:rPr>
        <w:t>. L 146 z 10.6.2009, s. 1);</w:t>
      </w:r>
    </w:p>
    <w:p w:rsidR="00DF1EB6" w:rsidRDefault="002F1DC5">
      <w:pPr>
        <w:spacing w:before="26" w:after="0"/>
        <w:ind w:left="746"/>
      </w:pPr>
      <w:r>
        <w:rPr>
          <w:color w:val="000000"/>
        </w:rPr>
        <w:t xml:space="preserve">(ii) </w:t>
      </w:r>
      <w:r>
        <w:rPr>
          <w:color w:val="1B1B1B"/>
        </w:rPr>
        <w:t>dyrektywa</w:t>
      </w:r>
      <w:r>
        <w:rPr>
          <w:color w:val="000000"/>
        </w:rPr>
        <w:t xml:space="preserve"> Rady 91/477/EWG z dnia 18 czerwca 1991 r. w sprawie kontroli nabywania i posiadania broni (</w:t>
      </w:r>
      <w:proofErr w:type="spellStart"/>
      <w:r>
        <w:rPr>
          <w:color w:val="000000"/>
        </w:rPr>
        <w:t>Dz.U</w:t>
      </w:r>
      <w:proofErr w:type="spellEnd"/>
      <w:r>
        <w:rPr>
          <w:color w:val="000000"/>
        </w:rPr>
        <w:t>. L 256 z 13.9.1991, s. 51);</w:t>
      </w:r>
    </w:p>
    <w:p w:rsidR="00DF1EB6" w:rsidRDefault="002F1DC5">
      <w:pPr>
        <w:spacing w:before="26" w:after="0"/>
        <w:ind w:left="746"/>
      </w:pPr>
      <w:r>
        <w:rPr>
          <w:color w:val="000000"/>
        </w:rPr>
        <w:t xml:space="preserve">(iii) </w:t>
      </w:r>
      <w:r>
        <w:rPr>
          <w:color w:val="1B1B1B"/>
        </w:rPr>
        <w:t>rozporządzenie</w:t>
      </w:r>
      <w:r>
        <w:rPr>
          <w:color w:val="000000"/>
        </w:rPr>
        <w:t xml:space="preserve"> Parlamentu Europejskieg</w:t>
      </w:r>
      <w:r>
        <w:rPr>
          <w:color w:val="000000"/>
        </w:rPr>
        <w:t>o i Rady (UE) nr 98/2013 z dnia 15 stycznia 2013 r. w sprawie wprowadzania do obrotu i używania prekursorów materiałów wybuchowych (</w:t>
      </w:r>
      <w:proofErr w:type="spellStart"/>
      <w:r>
        <w:rPr>
          <w:color w:val="000000"/>
        </w:rPr>
        <w:t>Dz.U</w:t>
      </w:r>
      <w:proofErr w:type="spellEnd"/>
      <w:r>
        <w:rPr>
          <w:color w:val="000000"/>
        </w:rPr>
        <w:t>. L 39 z 9.2.2013, s. 1).</w:t>
      </w:r>
    </w:p>
    <w:p w:rsidR="00DF1EB6" w:rsidRDefault="002F1DC5">
      <w:pPr>
        <w:spacing w:after="0"/>
        <w:ind w:left="746"/>
      </w:pPr>
      <w:r>
        <w:rPr>
          <w:color w:val="000000"/>
        </w:rPr>
        <w:t xml:space="preserve">D. Art. 2 ust. 1 lit. a) </w:t>
      </w:r>
      <w:proofErr w:type="spellStart"/>
      <w:r>
        <w:rPr>
          <w:color w:val="000000"/>
        </w:rPr>
        <w:t>ppkt</w:t>
      </w:r>
      <w:proofErr w:type="spellEnd"/>
      <w:r>
        <w:rPr>
          <w:color w:val="000000"/>
        </w:rPr>
        <w:t xml:space="preserve"> (iv) - bezpieczeństwo transportu:</w:t>
      </w:r>
    </w:p>
    <w:p w:rsidR="00DF1EB6" w:rsidRDefault="002F1DC5">
      <w:pPr>
        <w:spacing w:before="26" w:after="0"/>
        <w:ind w:left="373"/>
      </w:pPr>
      <w:r>
        <w:rPr>
          <w:color w:val="000000"/>
        </w:rPr>
        <w:t>1. Wymogi bezpieczeństwa w sek</w:t>
      </w:r>
      <w:r>
        <w:rPr>
          <w:color w:val="000000"/>
        </w:rPr>
        <w:t xml:space="preserve">torze kolejowym, regulowane </w:t>
      </w:r>
      <w:r>
        <w:rPr>
          <w:color w:val="1B1B1B"/>
        </w:rPr>
        <w:t>dyrektywą</w:t>
      </w:r>
      <w:r>
        <w:rPr>
          <w:color w:val="000000"/>
        </w:rPr>
        <w:t xml:space="preserve"> Parlamentu Europejskiego i Rady (UE) 2016/798 z dnia 11 maja 2016 r. w sprawie bezpieczeństwa kolei (</w:t>
      </w:r>
      <w:proofErr w:type="spellStart"/>
      <w:r>
        <w:rPr>
          <w:color w:val="000000"/>
        </w:rPr>
        <w:t>Dz.U</w:t>
      </w:r>
      <w:proofErr w:type="spellEnd"/>
      <w:r>
        <w:rPr>
          <w:color w:val="000000"/>
        </w:rPr>
        <w:t>. L 138 z 26.5.2016, s. 102).</w:t>
      </w:r>
    </w:p>
    <w:p w:rsidR="00DF1EB6" w:rsidRDefault="002F1DC5">
      <w:pPr>
        <w:spacing w:before="26" w:after="0"/>
        <w:ind w:left="373"/>
      </w:pPr>
      <w:r>
        <w:rPr>
          <w:color w:val="000000"/>
        </w:rPr>
        <w:t xml:space="preserve">2. Wymogi bezpieczeństwa w sektorze lotnictwa cywilnego, regulowane </w:t>
      </w:r>
      <w:r>
        <w:rPr>
          <w:color w:val="1B1B1B"/>
        </w:rPr>
        <w:t>rozporządzeniem</w:t>
      </w:r>
      <w:r>
        <w:rPr>
          <w:color w:val="000000"/>
        </w:rPr>
        <w:t xml:space="preserve"> Parlamentu Europejskiego i Rady (UE) nr 996/2010 z dnia 20 października 2010 r. w sprawie badania wypadków i incydentów w lotnictwie cywilnym oraz zapobiegania im oraz uchylającym dyrektywę 94/56/WE (</w:t>
      </w:r>
      <w:proofErr w:type="spellStart"/>
      <w:r>
        <w:rPr>
          <w:color w:val="000000"/>
        </w:rPr>
        <w:t>Dz.U</w:t>
      </w:r>
      <w:proofErr w:type="spellEnd"/>
      <w:r>
        <w:rPr>
          <w:color w:val="000000"/>
        </w:rPr>
        <w:t>. L 295 z 12.11.2010, s. 35).</w:t>
      </w:r>
    </w:p>
    <w:p w:rsidR="00DF1EB6" w:rsidRDefault="002F1DC5">
      <w:pPr>
        <w:spacing w:before="26" w:after="0"/>
        <w:ind w:left="373"/>
      </w:pPr>
      <w:r>
        <w:rPr>
          <w:color w:val="000000"/>
        </w:rPr>
        <w:t>3. Wymogi bezpieczeńs</w:t>
      </w:r>
      <w:r>
        <w:rPr>
          <w:color w:val="000000"/>
        </w:rPr>
        <w:t>twa w sektorze drogowym, regulowane następującymi aktami prawnymi:</w:t>
      </w:r>
    </w:p>
    <w:p w:rsidR="00DF1EB6" w:rsidRDefault="002F1DC5">
      <w:pPr>
        <w:spacing w:after="0"/>
        <w:ind w:left="373"/>
      </w:pPr>
      <w:r>
        <w:rPr>
          <w:color w:val="000000"/>
        </w:rPr>
        <w:t xml:space="preserve">(i) </w:t>
      </w:r>
      <w:r>
        <w:rPr>
          <w:color w:val="1B1B1B"/>
        </w:rPr>
        <w:t>dyrektywa</w:t>
      </w:r>
      <w:r>
        <w:rPr>
          <w:color w:val="000000"/>
        </w:rPr>
        <w:t xml:space="preserve"> Parlamentu Europejskiego i Rady 2008/96/WE z dnia 19 listopada 2008 r. w sprawie zarządzania bezpieczeństwem infrastruktury drogowej (</w:t>
      </w:r>
      <w:proofErr w:type="spellStart"/>
      <w:r>
        <w:rPr>
          <w:color w:val="000000"/>
        </w:rPr>
        <w:t>Dz.U</w:t>
      </w:r>
      <w:proofErr w:type="spellEnd"/>
      <w:r>
        <w:rPr>
          <w:color w:val="000000"/>
        </w:rPr>
        <w:t>. L 319 z 29.11.2008, s. 59);</w:t>
      </w:r>
    </w:p>
    <w:p w:rsidR="00DF1EB6" w:rsidRDefault="002F1DC5">
      <w:pPr>
        <w:spacing w:before="26" w:after="0"/>
        <w:ind w:left="746"/>
      </w:pPr>
      <w:r>
        <w:rPr>
          <w:color w:val="000000"/>
        </w:rPr>
        <w:lastRenderedPageBreak/>
        <w:t xml:space="preserve">(ii) </w:t>
      </w:r>
      <w:r>
        <w:rPr>
          <w:color w:val="1B1B1B"/>
        </w:rPr>
        <w:t>dy</w:t>
      </w:r>
      <w:r>
        <w:rPr>
          <w:color w:val="1B1B1B"/>
        </w:rPr>
        <w:t>rektywa</w:t>
      </w:r>
      <w:r>
        <w:rPr>
          <w:color w:val="000000"/>
        </w:rPr>
        <w:t xml:space="preserve"> 2004/54/WE Parlamentu Europejskiego i Rady z dnia 29 kwietnia 2004 r. w sprawie minimalnych wymagań bezpieczeństwa dla tuneli w transeuropejskiej sieci drogowej (</w:t>
      </w:r>
      <w:proofErr w:type="spellStart"/>
      <w:r>
        <w:rPr>
          <w:color w:val="000000"/>
        </w:rPr>
        <w:t>Dz.U</w:t>
      </w:r>
      <w:proofErr w:type="spellEnd"/>
      <w:r>
        <w:rPr>
          <w:color w:val="000000"/>
        </w:rPr>
        <w:t>. L 167 z 30.4.2004, s. 39).</w:t>
      </w:r>
    </w:p>
    <w:p w:rsidR="00DF1EB6" w:rsidRDefault="002F1DC5">
      <w:pPr>
        <w:spacing w:before="26" w:after="0"/>
        <w:ind w:left="746"/>
      </w:pPr>
      <w:r>
        <w:rPr>
          <w:color w:val="000000"/>
        </w:rPr>
        <w:t xml:space="preserve">(iii) </w:t>
      </w:r>
      <w:r>
        <w:rPr>
          <w:color w:val="1B1B1B"/>
        </w:rPr>
        <w:t>rozporządzenie</w:t>
      </w:r>
      <w:r>
        <w:rPr>
          <w:color w:val="000000"/>
        </w:rPr>
        <w:t xml:space="preserve"> Parlamentu Europejskiego i Rady </w:t>
      </w:r>
      <w:r>
        <w:rPr>
          <w:color w:val="000000"/>
        </w:rPr>
        <w:t>(WE) nr 1071/2009 z dnia 21 października 2009 r. ustanawiające wspólne zasady dotyczące warunków wykonywania zawodu przewoźnika drogowego i uchylające dyrektywę Rady 96/26/WE (</w:t>
      </w:r>
      <w:proofErr w:type="spellStart"/>
      <w:r>
        <w:rPr>
          <w:color w:val="000000"/>
        </w:rPr>
        <w:t>Dz.U</w:t>
      </w:r>
      <w:proofErr w:type="spellEnd"/>
      <w:r>
        <w:rPr>
          <w:color w:val="000000"/>
        </w:rPr>
        <w:t>. L 300 z 14.11.2009, s. 51).</w:t>
      </w:r>
    </w:p>
    <w:p w:rsidR="00DF1EB6" w:rsidRDefault="002F1DC5">
      <w:pPr>
        <w:spacing w:before="26" w:after="0"/>
        <w:ind w:left="373"/>
      </w:pPr>
      <w:r>
        <w:rPr>
          <w:color w:val="000000"/>
        </w:rPr>
        <w:t>4. Wymogi bezpieczeństwa w sektorze morskim, r</w:t>
      </w:r>
      <w:r>
        <w:rPr>
          <w:color w:val="000000"/>
        </w:rPr>
        <w:t>egulowane następującymi aktami prawnymi:</w:t>
      </w:r>
    </w:p>
    <w:p w:rsidR="00DF1EB6" w:rsidRDefault="002F1DC5">
      <w:pPr>
        <w:spacing w:after="0"/>
        <w:ind w:left="373"/>
      </w:pPr>
      <w:r>
        <w:rPr>
          <w:color w:val="000000"/>
        </w:rPr>
        <w:t xml:space="preserve">(i) </w:t>
      </w:r>
      <w:r>
        <w:rPr>
          <w:color w:val="1B1B1B"/>
        </w:rPr>
        <w:t>rozporządzenie</w:t>
      </w:r>
      <w:r>
        <w:rPr>
          <w:color w:val="000000"/>
        </w:rPr>
        <w:t xml:space="preserve"> Parlamentu Europejskiego i Rady (WE) nr 391/2009 z dnia 23 kwietnia 2009 r. w sprawie wspólnych reguł i norm dotyczących organizacji dokonujących inspekcji i przeglądów na statkach (</w:t>
      </w:r>
      <w:proofErr w:type="spellStart"/>
      <w:r>
        <w:rPr>
          <w:color w:val="000000"/>
        </w:rPr>
        <w:t>Dz.U</w:t>
      </w:r>
      <w:proofErr w:type="spellEnd"/>
      <w:r>
        <w:rPr>
          <w:color w:val="000000"/>
        </w:rPr>
        <w:t xml:space="preserve">. L 131 z </w:t>
      </w:r>
      <w:r>
        <w:rPr>
          <w:color w:val="000000"/>
        </w:rPr>
        <w:t>28.5.2009, s. 11);</w:t>
      </w:r>
    </w:p>
    <w:p w:rsidR="00DF1EB6" w:rsidRDefault="002F1DC5">
      <w:pPr>
        <w:spacing w:before="26" w:after="0"/>
        <w:ind w:left="746"/>
      </w:pPr>
      <w:r>
        <w:rPr>
          <w:color w:val="000000"/>
        </w:rPr>
        <w:t xml:space="preserve">(ii) </w:t>
      </w:r>
      <w:r>
        <w:rPr>
          <w:color w:val="1B1B1B"/>
        </w:rPr>
        <w:t>rozporządzenie</w:t>
      </w:r>
      <w:r>
        <w:rPr>
          <w:color w:val="000000"/>
        </w:rPr>
        <w:t xml:space="preserve"> Parlamentu Europejskiego i Rady (WE) nr 392/2009 z dnia 23 kwietnia 2009 r. w sprawie odpowiedzialności przewoźników pasażerskich na morskich drogach wodnych z tytułu wypadków (</w:t>
      </w:r>
      <w:proofErr w:type="spellStart"/>
      <w:r>
        <w:rPr>
          <w:color w:val="000000"/>
        </w:rPr>
        <w:t>Dz.U</w:t>
      </w:r>
      <w:proofErr w:type="spellEnd"/>
      <w:r>
        <w:rPr>
          <w:color w:val="000000"/>
        </w:rPr>
        <w:t>. L 131 z 28.5.2009, s. 24);</w:t>
      </w:r>
    </w:p>
    <w:p w:rsidR="00DF1EB6" w:rsidRDefault="002F1DC5">
      <w:pPr>
        <w:spacing w:before="26" w:after="0"/>
        <w:ind w:left="746"/>
      </w:pPr>
      <w:r>
        <w:rPr>
          <w:color w:val="000000"/>
        </w:rPr>
        <w:t xml:space="preserve">(iii) </w:t>
      </w:r>
      <w:r>
        <w:rPr>
          <w:color w:val="1B1B1B"/>
        </w:rPr>
        <w:t>d</w:t>
      </w:r>
      <w:r>
        <w:rPr>
          <w:color w:val="1B1B1B"/>
        </w:rPr>
        <w:t>yrektywa</w:t>
      </w:r>
      <w:r>
        <w:rPr>
          <w:color w:val="000000"/>
        </w:rPr>
        <w:t xml:space="preserve"> Parlamentu Europejskiego i Rady 2014/90/UE z dnia 23 lipca 2014 r. w sprawie wyposażenia morskiego i uchylająca dyrektywę Rady 96/98/WE (</w:t>
      </w:r>
      <w:proofErr w:type="spellStart"/>
      <w:r>
        <w:rPr>
          <w:color w:val="000000"/>
        </w:rPr>
        <w:t>Dz.U</w:t>
      </w:r>
      <w:proofErr w:type="spellEnd"/>
      <w:r>
        <w:rPr>
          <w:color w:val="000000"/>
        </w:rPr>
        <w:t>. L 257 z 28.8.2014, s. 146);</w:t>
      </w:r>
    </w:p>
    <w:p w:rsidR="00DF1EB6" w:rsidRDefault="002F1DC5">
      <w:pPr>
        <w:spacing w:before="26" w:after="0"/>
        <w:ind w:left="746"/>
      </w:pPr>
      <w:r>
        <w:rPr>
          <w:color w:val="000000"/>
        </w:rPr>
        <w:t xml:space="preserve">(iv) </w:t>
      </w:r>
      <w:r>
        <w:rPr>
          <w:color w:val="1B1B1B"/>
        </w:rPr>
        <w:t>dyrektywa</w:t>
      </w:r>
      <w:r>
        <w:rPr>
          <w:color w:val="000000"/>
        </w:rPr>
        <w:t xml:space="preserve"> Parlamentu Europejskiego i Rady 2009/18/WE z dnia 23 kwietnia</w:t>
      </w:r>
      <w:r>
        <w:rPr>
          <w:color w:val="000000"/>
        </w:rPr>
        <w:t xml:space="preserve"> 2009 r. ustanawiająca podstawowe zasady regulujące dochodzenia w sprawach wypadków w sektorze transportu morskiego i zmieniająca dyrektywę Rady 1999/35/WE oraz dyrektywę 2002/59/WE (</w:t>
      </w:r>
      <w:proofErr w:type="spellStart"/>
      <w:r>
        <w:rPr>
          <w:color w:val="000000"/>
        </w:rPr>
        <w:t>Dz.U</w:t>
      </w:r>
      <w:proofErr w:type="spellEnd"/>
      <w:r>
        <w:rPr>
          <w:color w:val="000000"/>
        </w:rPr>
        <w:t>. L 131 z 28.5.2009, s. 114);</w:t>
      </w:r>
    </w:p>
    <w:p w:rsidR="00DF1EB6" w:rsidRDefault="002F1DC5">
      <w:pPr>
        <w:spacing w:before="26" w:after="0"/>
        <w:ind w:left="746"/>
      </w:pPr>
      <w:r>
        <w:rPr>
          <w:color w:val="000000"/>
        </w:rPr>
        <w:t xml:space="preserve">(v) </w:t>
      </w:r>
      <w:r>
        <w:rPr>
          <w:color w:val="1B1B1B"/>
        </w:rPr>
        <w:t>dyrektywa</w:t>
      </w:r>
      <w:r>
        <w:rPr>
          <w:color w:val="000000"/>
        </w:rPr>
        <w:t xml:space="preserve"> Parlamentu Europejskiego </w:t>
      </w:r>
      <w:r>
        <w:rPr>
          <w:color w:val="000000"/>
        </w:rPr>
        <w:t>i Rady 2008/106/WE z dnia 19 listopada 2008 r. w sprawie minimalnego poziomu wyszkolenia marynarzy (</w:t>
      </w:r>
      <w:proofErr w:type="spellStart"/>
      <w:r>
        <w:rPr>
          <w:color w:val="000000"/>
        </w:rPr>
        <w:t>Dz.U</w:t>
      </w:r>
      <w:proofErr w:type="spellEnd"/>
      <w:r>
        <w:rPr>
          <w:color w:val="000000"/>
        </w:rPr>
        <w:t>. L 323 z 3.12.2008, s. 33);</w:t>
      </w:r>
    </w:p>
    <w:p w:rsidR="00DF1EB6" w:rsidRDefault="002F1DC5">
      <w:pPr>
        <w:spacing w:before="26" w:after="0"/>
        <w:ind w:left="746"/>
      </w:pPr>
      <w:r>
        <w:rPr>
          <w:color w:val="000000"/>
        </w:rPr>
        <w:t xml:space="preserve">(vi) </w:t>
      </w:r>
      <w:r>
        <w:rPr>
          <w:color w:val="1B1B1B"/>
        </w:rPr>
        <w:t>dyrektywa</w:t>
      </w:r>
      <w:r>
        <w:rPr>
          <w:color w:val="000000"/>
        </w:rPr>
        <w:t xml:space="preserve"> Rady 98/41/WE z dnia 18 czerwca 1998 r. w sprawie rejestracji osób podróżujących na pokładzie statków pasażerskich płynących do portów państw członkowskich Wspólnoty lub z portów państw członkowskich Wspólnoty (</w:t>
      </w:r>
      <w:proofErr w:type="spellStart"/>
      <w:r>
        <w:rPr>
          <w:color w:val="000000"/>
        </w:rPr>
        <w:t>Dz.U</w:t>
      </w:r>
      <w:proofErr w:type="spellEnd"/>
      <w:r>
        <w:rPr>
          <w:color w:val="000000"/>
        </w:rPr>
        <w:t>. L 188 z 2.7.1998, s. 35);</w:t>
      </w:r>
    </w:p>
    <w:p w:rsidR="00DF1EB6" w:rsidRDefault="002F1DC5">
      <w:pPr>
        <w:spacing w:before="26" w:after="0"/>
        <w:ind w:left="746"/>
      </w:pPr>
      <w:r>
        <w:rPr>
          <w:color w:val="000000"/>
        </w:rPr>
        <w:t xml:space="preserve">(vii) </w:t>
      </w:r>
      <w:r>
        <w:rPr>
          <w:color w:val="1B1B1B"/>
        </w:rPr>
        <w:t>dyrekt</w:t>
      </w:r>
      <w:r>
        <w:rPr>
          <w:color w:val="1B1B1B"/>
        </w:rPr>
        <w:t>ywa</w:t>
      </w:r>
      <w:r>
        <w:rPr>
          <w:color w:val="000000"/>
        </w:rPr>
        <w:t xml:space="preserve"> 2001/96/WE Parlamentu Europejskiego i Rady z dnia 4 grudnia 2001 r. ustanawiająca zharmonizowane wymagania i procedury dotyczące bezpieczeństwa załadunku i wyładunku na masowcach (</w:t>
      </w:r>
      <w:proofErr w:type="spellStart"/>
      <w:r>
        <w:rPr>
          <w:color w:val="000000"/>
        </w:rPr>
        <w:t>Dz.U</w:t>
      </w:r>
      <w:proofErr w:type="spellEnd"/>
      <w:r>
        <w:rPr>
          <w:color w:val="000000"/>
        </w:rPr>
        <w:t>. L 13 z 16.1.2002, s. 9).</w:t>
      </w:r>
    </w:p>
    <w:p w:rsidR="00DF1EB6" w:rsidRDefault="002F1DC5">
      <w:pPr>
        <w:spacing w:before="26" w:after="0"/>
        <w:ind w:left="373"/>
      </w:pPr>
      <w:r>
        <w:rPr>
          <w:color w:val="000000"/>
        </w:rPr>
        <w:t xml:space="preserve">5. Wymogi bezpieczeństwa, regulowane </w:t>
      </w:r>
      <w:r>
        <w:rPr>
          <w:color w:val="1B1B1B"/>
        </w:rPr>
        <w:t>dyre</w:t>
      </w:r>
      <w:r>
        <w:rPr>
          <w:color w:val="1B1B1B"/>
        </w:rPr>
        <w:t>ktywą</w:t>
      </w:r>
      <w:r>
        <w:rPr>
          <w:color w:val="000000"/>
        </w:rPr>
        <w:t xml:space="preserve"> 2008/68/WE Parlamentu Europejskiego i Rady z dnia 24 września 2008 r. w sprawie transportu lądowego towarów niebezpiecznych (</w:t>
      </w:r>
      <w:proofErr w:type="spellStart"/>
      <w:r>
        <w:rPr>
          <w:color w:val="000000"/>
        </w:rPr>
        <w:t>Dz.U</w:t>
      </w:r>
      <w:proofErr w:type="spellEnd"/>
      <w:r>
        <w:rPr>
          <w:color w:val="000000"/>
        </w:rPr>
        <w:t>. L 260 z 30.9.2008, s. 13).</w:t>
      </w:r>
    </w:p>
    <w:p w:rsidR="00DF1EB6" w:rsidRDefault="002F1DC5">
      <w:pPr>
        <w:spacing w:after="0"/>
        <w:ind w:left="373"/>
      </w:pPr>
      <w:r>
        <w:rPr>
          <w:color w:val="000000"/>
        </w:rPr>
        <w:t xml:space="preserve">E. Art. 2 ust. 1 lit. a) </w:t>
      </w:r>
      <w:proofErr w:type="spellStart"/>
      <w:r>
        <w:rPr>
          <w:color w:val="000000"/>
        </w:rPr>
        <w:t>ppkt</w:t>
      </w:r>
      <w:proofErr w:type="spellEnd"/>
      <w:r>
        <w:rPr>
          <w:color w:val="000000"/>
        </w:rPr>
        <w:t xml:space="preserve"> (v) - ochrona środowiska:</w:t>
      </w:r>
    </w:p>
    <w:p w:rsidR="00DF1EB6" w:rsidRDefault="002F1DC5">
      <w:pPr>
        <w:spacing w:before="26" w:after="0"/>
        <w:ind w:left="373"/>
      </w:pPr>
      <w:r>
        <w:rPr>
          <w:color w:val="000000"/>
        </w:rPr>
        <w:t>1. Wszelkie przestępstwa przeciwko o</w:t>
      </w:r>
      <w:r>
        <w:rPr>
          <w:color w:val="000000"/>
        </w:rPr>
        <w:t xml:space="preserve">chronie środowiska regulowane </w:t>
      </w:r>
      <w:r>
        <w:rPr>
          <w:color w:val="1B1B1B"/>
        </w:rPr>
        <w:t>dyrektywą</w:t>
      </w:r>
      <w:r>
        <w:rPr>
          <w:color w:val="000000"/>
        </w:rPr>
        <w:t xml:space="preserve"> Parlamentu Europejskiego i Rady 2008/99/WE z dnia 19 listopada 2008 r. w sprawie ochrony środowiska poprzez prawo karne (</w:t>
      </w:r>
      <w:proofErr w:type="spellStart"/>
      <w:r>
        <w:rPr>
          <w:color w:val="000000"/>
        </w:rPr>
        <w:t>Dz.U</w:t>
      </w:r>
      <w:proofErr w:type="spellEnd"/>
      <w:r>
        <w:rPr>
          <w:color w:val="000000"/>
        </w:rPr>
        <w:t xml:space="preserve">. L 328 z 6.12.2008, s. 28) lub wszelkie bezprawne postępowanie naruszające akty prawne wymienione w </w:t>
      </w:r>
      <w:r>
        <w:rPr>
          <w:color w:val="1B1B1B"/>
        </w:rPr>
        <w:t>załącznikach</w:t>
      </w:r>
      <w:r>
        <w:rPr>
          <w:color w:val="000000"/>
        </w:rPr>
        <w:t xml:space="preserve"> do dyrektywy 200</w:t>
      </w:r>
      <w:r>
        <w:rPr>
          <w:color w:val="000000"/>
        </w:rPr>
        <w:t>8/99/WE.</w:t>
      </w:r>
    </w:p>
    <w:p w:rsidR="00DF1EB6" w:rsidRDefault="002F1DC5">
      <w:pPr>
        <w:spacing w:before="26" w:after="0"/>
        <w:ind w:left="373"/>
      </w:pPr>
      <w:r>
        <w:rPr>
          <w:color w:val="000000"/>
        </w:rPr>
        <w:t>2. Przepisy dotyczące środowiska naturalnego i klimatu, ustanowione w następujących aktach prawnych:</w:t>
      </w:r>
    </w:p>
    <w:p w:rsidR="00DF1EB6" w:rsidRDefault="002F1DC5">
      <w:pPr>
        <w:spacing w:after="0"/>
        <w:ind w:left="373"/>
      </w:pPr>
      <w:r>
        <w:rPr>
          <w:color w:val="000000"/>
        </w:rPr>
        <w:lastRenderedPageBreak/>
        <w:t xml:space="preserve">(i) </w:t>
      </w:r>
      <w:r>
        <w:rPr>
          <w:color w:val="1B1B1B"/>
        </w:rPr>
        <w:t>dyrektywa</w:t>
      </w:r>
      <w:r>
        <w:rPr>
          <w:color w:val="000000"/>
        </w:rPr>
        <w:t xml:space="preserve"> 2003/87/WE Parlamentu Europejskiego i Rady z dnia 13 października 2003 r. ustanawiająca system handlu przydziałami emisji gazów ciep</w:t>
      </w:r>
      <w:r>
        <w:rPr>
          <w:color w:val="000000"/>
        </w:rPr>
        <w:t xml:space="preserve">larnianych we Wspólnocie oraz zmieniająca </w:t>
      </w:r>
      <w:r>
        <w:rPr>
          <w:color w:val="1B1B1B"/>
        </w:rPr>
        <w:t>dyrektywę</w:t>
      </w:r>
      <w:r>
        <w:rPr>
          <w:color w:val="000000"/>
        </w:rPr>
        <w:t xml:space="preserve"> Rady 96/61/WE (</w:t>
      </w:r>
      <w:proofErr w:type="spellStart"/>
      <w:r>
        <w:rPr>
          <w:color w:val="000000"/>
        </w:rPr>
        <w:t>Dz.U</w:t>
      </w:r>
      <w:proofErr w:type="spellEnd"/>
      <w:r>
        <w:rPr>
          <w:color w:val="000000"/>
        </w:rPr>
        <w:t>. L 275 z 25.10.2003, s. 32);</w:t>
      </w:r>
    </w:p>
    <w:p w:rsidR="00DF1EB6" w:rsidRDefault="002F1DC5">
      <w:pPr>
        <w:spacing w:before="26" w:after="0"/>
        <w:ind w:left="746"/>
      </w:pPr>
      <w:r>
        <w:rPr>
          <w:color w:val="000000"/>
        </w:rPr>
        <w:t xml:space="preserve">(ii) </w:t>
      </w:r>
      <w:r>
        <w:rPr>
          <w:color w:val="1B1B1B"/>
        </w:rPr>
        <w:t>dyrektywa</w:t>
      </w:r>
      <w:r>
        <w:rPr>
          <w:color w:val="000000"/>
        </w:rPr>
        <w:t xml:space="preserve"> Parlamentu Europejskiego i Rady 2009/28/WE z dnia 23 kwietnia 2009 r. w sprawie promowania stosowania energii ze źródeł odnawialnych, zmieni</w:t>
      </w:r>
      <w:r>
        <w:rPr>
          <w:color w:val="000000"/>
        </w:rPr>
        <w:t>ająca i w następstwie uchylająca dyrektywy 2001/77/WE oraz 2003/30/WE (</w:t>
      </w:r>
      <w:proofErr w:type="spellStart"/>
      <w:r>
        <w:rPr>
          <w:color w:val="000000"/>
        </w:rPr>
        <w:t>Dz.U</w:t>
      </w:r>
      <w:proofErr w:type="spellEnd"/>
      <w:r>
        <w:rPr>
          <w:color w:val="000000"/>
        </w:rPr>
        <w:t>. L 140 z 5.6.2009, s. 16);</w:t>
      </w:r>
    </w:p>
    <w:p w:rsidR="00DF1EB6" w:rsidRDefault="002F1DC5">
      <w:pPr>
        <w:spacing w:before="26" w:after="0"/>
        <w:ind w:left="746"/>
      </w:pPr>
      <w:r>
        <w:rPr>
          <w:color w:val="000000"/>
        </w:rPr>
        <w:t xml:space="preserve">(iii) </w:t>
      </w:r>
      <w:r>
        <w:rPr>
          <w:color w:val="1B1B1B"/>
        </w:rPr>
        <w:t>dyrektywa</w:t>
      </w:r>
      <w:r>
        <w:rPr>
          <w:color w:val="000000"/>
        </w:rPr>
        <w:t xml:space="preserve"> Parlamentu Europejskiego i Rady 2012/27/UE z dnia 25 października 2012 r. w sprawie efektywności energetycznej, zmiany dyrektyw 2009/125/</w:t>
      </w:r>
      <w:r>
        <w:rPr>
          <w:color w:val="000000"/>
        </w:rPr>
        <w:t>WE i 2010/30/UE oraz uchylenia dyrektyw 2004/8/WE i 2006/32/WE (</w:t>
      </w:r>
      <w:proofErr w:type="spellStart"/>
      <w:r>
        <w:rPr>
          <w:color w:val="000000"/>
        </w:rPr>
        <w:t>Dz.U</w:t>
      </w:r>
      <w:proofErr w:type="spellEnd"/>
      <w:r>
        <w:rPr>
          <w:color w:val="000000"/>
        </w:rPr>
        <w:t>. L 315 z 14.11.2012, s. 1);</w:t>
      </w:r>
    </w:p>
    <w:p w:rsidR="00DF1EB6" w:rsidRDefault="002F1DC5">
      <w:pPr>
        <w:spacing w:before="26" w:after="0"/>
        <w:ind w:left="746"/>
      </w:pPr>
      <w:r>
        <w:rPr>
          <w:color w:val="000000"/>
        </w:rPr>
        <w:t xml:space="preserve">(iv) </w:t>
      </w:r>
      <w:r>
        <w:rPr>
          <w:color w:val="1B1B1B"/>
        </w:rPr>
        <w:t>rozporządzenie</w:t>
      </w:r>
      <w:r>
        <w:rPr>
          <w:color w:val="000000"/>
        </w:rPr>
        <w:t xml:space="preserve"> Parlamentu Europejskiego i Rady (UE) nr 525/2013 z dnia 21 maja 2013 r. w sprawie mechanizmu monitorowania i sprawozdawczości w zakresie em</w:t>
      </w:r>
      <w:r>
        <w:rPr>
          <w:color w:val="000000"/>
        </w:rPr>
        <w:t>isji gazów cieplarnianych oraz zgłaszania innych informacji na poziomie krajowym i unijnym, mających znaczenie dla zmiany klimatu, oraz uchylające decyzję nr 280/2004/WE (</w:t>
      </w:r>
      <w:proofErr w:type="spellStart"/>
      <w:r>
        <w:rPr>
          <w:color w:val="000000"/>
        </w:rPr>
        <w:t>Dz.U</w:t>
      </w:r>
      <w:proofErr w:type="spellEnd"/>
      <w:r>
        <w:rPr>
          <w:color w:val="000000"/>
        </w:rPr>
        <w:t>. L 165 z 18.6.2013, s. 13);</w:t>
      </w:r>
    </w:p>
    <w:p w:rsidR="00DF1EB6" w:rsidRDefault="002F1DC5">
      <w:pPr>
        <w:spacing w:before="26" w:after="0"/>
        <w:ind w:left="746"/>
      </w:pPr>
      <w:r>
        <w:rPr>
          <w:color w:val="000000"/>
        </w:rPr>
        <w:t xml:space="preserve">(v) </w:t>
      </w:r>
      <w:r>
        <w:rPr>
          <w:color w:val="1B1B1B"/>
        </w:rPr>
        <w:t>dyrektywa</w:t>
      </w:r>
      <w:r>
        <w:rPr>
          <w:color w:val="000000"/>
        </w:rPr>
        <w:t xml:space="preserve"> Parlamentu Europejskiego i Rady (UE) 2</w:t>
      </w:r>
      <w:r>
        <w:rPr>
          <w:color w:val="000000"/>
        </w:rPr>
        <w:t>018/2001 z dnia 11 grudnia 2018 r. w sprawie promowania stosowania energii ze źródeł odnawialnych (</w:t>
      </w:r>
      <w:proofErr w:type="spellStart"/>
      <w:r>
        <w:rPr>
          <w:color w:val="000000"/>
        </w:rPr>
        <w:t>Dz.U</w:t>
      </w:r>
      <w:proofErr w:type="spellEnd"/>
      <w:r>
        <w:rPr>
          <w:color w:val="000000"/>
        </w:rPr>
        <w:t>. L 328 z 21.12.2018, s. 82).</w:t>
      </w:r>
    </w:p>
    <w:p w:rsidR="00DF1EB6" w:rsidRDefault="002F1DC5">
      <w:pPr>
        <w:spacing w:before="26" w:after="0"/>
        <w:ind w:left="373"/>
      </w:pPr>
      <w:r>
        <w:rPr>
          <w:color w:val="000000"/>
        </w:rPr>
        <w:t>3. Przepisy dotyczące zrównoważonego rozwoju i gospodarowania odpadami, ustanowione w następujących aktach prawnych:</w:t>
      </w:r>
    </w:p>
    <w:p w:rsidR="00DF1EB6" w:rsidRDefault="002F1DC5">
      <w:pPr>
        <w:spacing w:after="0"/>
        <w:ind w:left="373"/>
      </w:pPr>
      <w:r>
        <w:rPr>
          <w:color w:val="000000"/>
        </w:rPr>
        <w:t xml:space="preserve">(i) </w:t>
      </w:r>
      <w:r>
        <w:rPr>
          <w:color w:val="1B1B1B"/>
        </w:rPr>
        <w:t>dy</w:t>
      </w:r>
      <w:r>
        <w:rPr>
          <w:color w:val="1B1B1B"/>
        </w:rPr>
        <w:t>rektywa</w:t>
      </w:r>
      <w:r>
        <w:rPr>
          <w:color w:val="000000"/>
        </w:rPr>
        <w:t xml:space="preserve"> Parlamentu Europejskiego i Rady 2008/98/WE z dnia 19 listopada 2008 r. w sprawie odpadów oraz uchylająca niektóre dyrektywy (</w:t>
      </w:r>
      <w:proofErr w:type="spellStart"/>
      <w:r>
        <w:rPr>
          <w:color w:val="000000"/>
        </w:rPr>
        <w:t>Dz.U</w:t>
      </w:r>
      <w:proofErr w:type="spellEnd"/>
      <w:r>
        <w:rPr>
          <w:color w:val="000000"/>
        </w:rPr>
        <w:t>. L 312 z 22.11.2008, s. 3);</w:t>
      </w:r>
    </w:p>
    <w:p w:rsidR="00DF1EB6" w:rsidRDefault="002F1DC5">
      <w:pPr>
        <w:spacing w:before="26" w:after="0"/>
        <w:ind w:left="746"/>
      </w:pPr>
      <w:r>
        <w:rPr>
          <w:color w:val="000000"/>
        </w:rPr>
        <w:t xml:space="preserve">(ii) </w:t>
      </w:r>
      <w:r>
        <w:rPr>
          <w:color w:val="1B1B1B"/>
        </w:rPr>
        <w:t>rozporządzenie</w:t>
      </w:r>
      <w:r>
        <w:rPr>
          <w:color w:val="000000"/>
        </w:rPr>
        <w:t xml:space="preserve"> Parlamentu Europejskiego i Rady (UE) nr 1257/2013 z dnia 20 listopada </w:t>
      </w:r>
      <w:r>
        <w:rPr>
          <w:color w:val="000000"/>
        </w:rPr>
        <w:t>2013 r. w sprawie recyklingu statków oraz zmieniające rozporządzenie (WE) nr 1013/2006 i dyrektywę 2009/16/WE (</w:t>
      </w:r>
      <w:proofErr w:type="spellStart"/>
      <w:r>
        <w:rPr>
          <w:color w:val="000000"/>
        </w:rPr>
        <w:t>Dz.U</w:t>
      </w:r>
      <w:proofErr w:type="spellEnd"/>
      <w:r>
        <w:rPr>
          <w:color w:val="000000"/>
        </w:rPr>
        <w:t>. L 330 z 10.12.2013, s. 1);</w:t>
      </w:r>
    </w:p>
    <w:p w:rsidR="00DF1EB6" w:rsidRDefault="002F1DC5">
      <w:pPr>
        <w:spacing w:before="26" w:after="0"/>
        <w:ind w:left="746"/>
      </w:pPr>
      <w:r>
        <w:rPr>
          <w:color w:val="000000"/>
        </w:rPr>
        <w:t xml:space="preserve">(iii) </w:t>
      </w:r>
      <w:r>
        <w:rPr>
          <w:color w:val="1B1B1B"/>
        </w:rPr>
        <w:t>rozporządzenie</w:t>
      </w:r>
      <w:r>
        <w:rPr>
          <w:color w:val="000000"/>
        </w:rPr>
        <w:t xml:space="preserve"> Parlamentu Europejskiego i Rady (UE) nr 649/2012 z dnia 4 lipca 2012 r. dotyczące wywozu i </w:t>
      </w:r>
      <w:r>
        <w:rPr>
          <w:color w:val="000000"/>
        </w:rPr>
        <w:t>przywozu niebezpiecznych chemikaliów (</w:t>
      </w:r>
      <w:proofErr w:type="spellStart"/>
      <w:r>
        <w:rPr>
          <w:color w:val="000000"/>
        </w:rPr>
        <w:t>Dz.U</w:t>
      </w:r>
      <w:proofErr w:type="spellEnd"/>
      <w:r>
        <w:rPr>
          <w:color w:val="000000"/>
        </w:rPr>
        <w:t>. L 201 z 27.7.2012, s. 60).</w:t>
      </w:r>
    </w:p>
    <w:p w:rsidR="00DF1EB6" w:rsidRDefault="002F1DC5">
      <w:pPr>
        <w:spacing w:before="26" w:after="0"/>
        <w:ind w:left="373"/>
      </w:pPr>
      <w:r>
        <w:rPr>
          <w:color w:val="000000"/>
        </w:rPr>
        <w:t>4. Przepisy dotyczące zanieczyszczeń mórz i powietrza oraz zanieczyszczenia hałasem, ustanowione w następujących aktach prawnych:</w:t>
      </w:r>
    </w:p>
    <w:p w:rsidR="00DF1EB6" w:rsidRDefault="002F1DC5">
      <w:pPr>
        <w:spacing w:after="0"/>
        <w:ind w:left="373"/>
      </w:pPr>
      <w:r>
        <w:rPr>
          <w:color w:val="000000"/>
        </w:rPr>
        <w:t xml:space="preserve">(i) </w:t>
      </w:r>
      <w:r>
        <w:rPr>
          <w:color w:val="1B1B1B"/>
        </w:rPr>
        <w:t>dyrektywa</w:t>
      </w:r>
      <w:r>
        <w:rPr>
          <w:color w:val="000000"/>
        </w:rPr>
        <w:t xml:space="preserve"> 1999/94/WE Parlamentu Europejskiego i Rad</w:t>
      </w:r>
      <w:r>
        <w:rPr>
          <w:color w:val="000000"/>
        </w:rPr>
        <w:t>y z dnia 13 grudnia 1999 r. odnosząca się do dostępności dla konsumentów informacji o zużyciu paliwa i emisjach CO</w:t>
      </w:r>
      <w:r>
        <w:rPr>
          <w:color w:val="000000"/>
          <w:vertAlign w:val="subscript"/>
        </w:rPr>
        <w:t>2</w:t>
      </w:r>
      <w:r>
        <w:rPr>
          <w:color w:val="000000"/>
        </w:rPr>
        <w:t xml:space="preserve"> w odniesieniu do obrotu nowymi samochodami osobowymi (</w:t>
      </w:r>
      <w:proofErr w:type="spellStart"/>
      <w:r>
        <w:rPr>
          <w:color w:val="000000"/>
        </w:rPr>
        <w:t>Dz.U</w:t>
      </w:r>
      <w:proofErr w:type="spellEnd"/>
      <w:r>
        <w:rPr>
          <w:color w:val="000000"/>
        </w:rPr>
        <w:t>. L 12 z 18.1.2000, s. 16);</w:t>
      </w:r>
    </w:p>
    <w:p w:rsidR="00DF1EB6" w:rsidRDefault="002F1DC5">
      <w:pPr>
        <w:spacing w:before="26" w:after="0"/>
        <w:ind w:left="746"/>
      </w:pPr>
      <w:r>
        <w:rPr>
          <w:color w:val="000000"/>
        </w:rPr>
        <w:t xml:space="preserve">(ii) </w:t>
      </w:r>
      <w:r>
        <w:rPr>
          <w:color w:val="1B1B1B"/>
        </w:rPr>
        <w:t>dyrektywa</w:t>
      </w:r>
      <w:r>
        <w:rPr>
          <w:color w:val="000000"/>
        </w:rPr>
        <w:t xml:space="preserve"> 2001/81/WE Parlamentu Europejskiego i R</w:t>
      </w:r>
      <w:r>
        <w:rPr>
          <w:color w:val="000000"/>
        </w:rPr>
        <w:t>ady z dnia 23 października 2001 r. w sprawie krajowych poziomów emisji dla niektórych rodzajów zanieczyszczenia powietrza (</w:t>
      </w:r>
      <w:proofErr w:type="spellStart"/>
      <w:r>
        <w:rPr>
          <w:color w:val="000000"/>
        </w:rPr>
        <w:t>Dz.U</w:t>
      </w:r>
      <w:proofErr w:type="spellEnd"/>
      <w:r>
        <w:rPr>
          <w:color w:val="000000"/>
        </w:rPr>
        <w:t>. L 309 z 27.11.2001, s. 22);</w:t>
      </w:r>
    </w:p>
    <w:p w:rsidR="00DF1EB6" w:rsidRDefault="002F1DC5">
      <w:pPr>
        <w:spacing w:before="26" w:after="0"/>
        <w:ind w:left="746"/>
      </w:pPr>
      <w:r>
        <w:rPr>
          <w:color w:val="000000"/>
        </w:rPr>
        <w:t xml:space="preserve">(iii) </w:t>
      </w:r>
      <w:r>
        <w:rPr>
          <w:color w:val="1B1B1B"/>
        </w:rPr>
        <w:t>dyrektywa</w:t>
      </w:r>
      <w:r>
        <w:rPr>
          <w:color w:val="000000"/>
        </w:rPr>
        <w:t xml:space="preserve"> 2002/49/WE Parlamentu Europejskiego i Rady z dnia 25 czerwca 2002 r. odnosząca się </w:t>
      </w:r>
      <w:r>
        <w:rPr>
          <w:color w:val="000000"/>
        </w:rPr>
        <w:t>do oceny i zarządzania poziomem hałasu w środowisku (</w:t>
      </w:r>
      <w:proofErr w:type="spellStart"/>
      <w:r>
        <w:rPr>
          <w:color w:val="000000"/>
        </w:rPr>
        <w:t>Dz.U</w:t>
      </w:r>
      <w:proofErr w:type="spellEnd"/>
      <w:r>
        <w:rPr>
          <w:color w:val="000000"/>
        </w:rPr>
        <w:t>. L 189 z 18.7.2002, s. 12);</w:t>
      </w:r>
    </w:p>
    <w:p w:rsidR="00DF1EB6" w:rsidRDefault="002F1DC5">
      <w:pPr>
        <w:spacing w:before="26" w:after="0"/>
        <w:ind w:left="746"/>
      </w:pPr>
      <w:r>
        <w:rPr>
          <w:color w:val="000000"/>
        </w:rPr>
        <w:lastRenderedPageBreak/>
        <w:t xml:space="preserve">(iv) </w:t>
      </w:r>
      <w:r>
        <w:rPr>
          <w:color w:val="1B1B1B"/>
        </w:rPr>
        <w:t>rozporządzenie</w:t>
      </w:r>
      <w:r>
        <w:rPr>
          <w:color w:val="000000"/>
        </w:rPr>
        <w:t xml:space="preserve"> (WE) nr 782/2003 Parlamentu Europejskiego i Rady z dnia 14 kwietnia 2003 r. w sprawie zakazu stosowania związków cynoorganicznych na statkach (</w:t>
      </w:r>
      <w:proofErr w:type="spellStart"/>
      <w:r>
        <w:rPr>
          <w:color w:val="000000"/>
        </w:rPr>
        <w:t>Dz.U</w:t>
      </w:r>
      <w:proofErr w:type="spellEnd"/>
      <w:r>
        <w:rPr>
          <w:color w:val="000000"/>
        </w:rPr>
        <w:t>. L</w:t>
      </w:r>
      <w:r>
        <w:rPr>
          <w:color w:val="000000"/>
        </w:rPr>
        <w:t xml:space="preserve"> 115 z 9.5.2003, s. 1);</w:t>
      </w:r>
    </w:p>
    <w:p w:rsidR="00DF1EB6" w:rsidRDefault="002F1DC5">
      <w:pPr>
        <w:spacing w:before="26" w:after="0"/>
        <w:ind w:left="746"/>
      </w:pPr>
      <w:r>
        <w:rPr>
          <w:color w:val="000000"/>
        </w:rPr>
        <w:t xml:space="preserve">(v) </w:t>
      </w:r>
      <w:r>
        <w:rPr>
          <w:color w:val="1B1B1B"/>
        </w:rPr>
        <w:t>dyrektywa</w:t>
      </w:r>
      <w:r>
        <w:rPr>
          <w:color w:val="000000"/>
        </w:rPr>
        <w:t xml:space="preserve"> 2004/35/WE Parlamentu Europejskiego i Rady z dnia 21 kwietnia 2004 r. w sprawie odpowiedzialności za środowisko w odniesieniu do zapobiegania i zaradzania szkodom wyrządzonym środowisku naturalnemu (</w:t>
      </w:r>
      <w:proofErr w:type="spellStart"/>
      <w:r>
        <w:rPr>
          <w:color w:val="000000"/>
        </w:rPr>
        <w:t>Dz.U</w:t>
      </w:r>
      <w:proofErr w:type="spellEnd"/>
      <w:r>
        <w:rPr>
          <w:color w:val="000000"/>
        </w:rPr>
        <w:t>. L 143 z 30.4.</w:t>
      </w:r>
      <w:r>
        <w:rPr>
          <w:color w:val="000000"/>
        </w:rPr>
        <w:t>2004, s. 56);</w:t>
      </w:r>
    </w:p>
    <w:p w:rsidR="00DF1EB6" w:rsidRDefault="002F1DC5">
      <w:pPr>
        <w:spacing w:before="26" w:after="0"/>
        <w:ind w:left="746"/>
      </w:pPr>
      <w:r>
        <w:rPr>
          <w:color w:val="000000"/>
        </w:rPr>
        <w:t xml:space="preserve">(vi) </w:t>
      </w:r>
      <w:r>
        <w:rPr>
          <w:color w:val="1B1B1B"/>
        </w:rPr>
        <w:t>dyrektywa</w:t>
      </w:r>
      <w:r>
        <w:rPr>
          <w:color w:val="000000"/>
        </w:rPr>
        <w:t xml:space="preserve"> 2005/35/WE Parlamentu Europejskiego i Rady z dnia 7 września 2005 r. w sprawie zanieczyszczenia pochodzącego ze statków oraz wprowadzenia sankcji w przypadku naruszenia prawa (</w:t>
      </w:r>
      <w:proofErr w:type="spellStart"/>
      <w:r>
        <w:rPr>
          <w:color w:val="000000"/>
        </w:rPr>
        <w:t>Dz.U</w:t>
      </w:r>
      <w:proofErr w:type="spellEnd"/>
      <w:r>
        <w:rPr>
          <w:color w:val="000000"/>
        </w:rPr>
        <w:t>. L 255 z 30.9.2005, s. 11);</w:t>
      </w:r>
    </w:p>
    <w:p w:rsidR="00DF1EB6" w:rsidRDefault="002F1DC5">
      <w:pPr>
        <w:spacing w:before="26" w:after="0"/>
        <w:ind w:left="746"/>
      </w:pPr>
      <w:r>
        <w:rPr>
          <w:color w:val="000000"/>
        </w:rPr>
        <w:t xml:space="preserve">(vii) </w:t>
      </w:r>
      <w:r>
        <w:rPr>
          <w:color w:val="1B1B1B"/>
        </w:rPr>
        <w:t>rozporządzen</w:t>
      </w:r>
      <w:r>
        <w:rPr>
          <w:color w:val="1B1B1B"/>
        </w:rPr>
        <w:t>ie</w:t>
      </w:r>
      <w:r>
        <w:rPr>
          <w:color w:val="000000"/>
        </w:rPr>
        <w:t xml:space="preserve"> (WE) nr 166/2006 Parlamentu Europejskiego i Rady z dnia 18 stycznia 2006 r. w sprawie ustanowienia Europejskiego Rejestru Uwalniania i Transferu Zanieczyszczeń i zmieniające dyrektywę Rady 91/689/EWG i 96/61/WE, (</w:t>
      </w:r>
      <w:proofErr w:type="spellStart"/>
      <w:r>
        <w:rPr>
          <w:color w:val="000000"/>
        </w:rPr>
        <w:t>Dz.U</w:t>
      </w:r>
      <w:proofErr w:type="spellEnd"/>
      <w:r>
        <w:rPr>
          <w:color w:val="000000"/>
        </w:rPr>
        <w:t>. L 33 z 4.2.2006, s. 1);</w:t>
      </w:r>
    </w:p>
    <w:p w:rsidR="00DF1EB6" w:rsidRDefault="002F1DC5">
      <w:pPr>
        <w:spacing w:before="26" w:after="0"/>
        <w:ind w:left="746"/>
      </w:pPr>
      <w:r>
        <w:rPr>
          <w:color w:val="000000"/>
        </w:rPr>
        <w:t xml:space="preserve">(viii) </w:t>
      </w:r>
      <w:r>
        <w:rPr>
          <w:color w:val="1B1B1B"/>
        </w:rPr>
        <w:t>dyr</w:t>
      </w:r>
      <w:r>
        <w:rPr>
          <w:color w:val="1B1B1B"/>
        </w:rPr>
        <w:t>ektywa</w:t>
      </w:r>
      <w:r>
        <w:rPr>
          <w:color w:val="000000"/>
        </w:rPr>
        <w:t xml:space="preserve"> Parlamentu Europejskiego i Rady 2009/33/WE z dnia 23 kwietnia 2009 r. w sprawie promowania ekologicznie czystych i energooszczędnych pojazdów transportu drogowego (</w:t>
      </w:r>
      <w:proofErr w:type="spellStart"/>
      <w:r>
        <w:rPr>
          <w:color w:val="000000"/>
        </w:rPr>
        <w:t>Dz.U</w:t>
      </w:r>
      <w:proofErr w:type="spellEnd"/>
      <w:r>
        <w:rPr>
          <w:color w:val="000000"/>
        </w:rPr>
        <w:t>. L 120 z 15.5.2009, s. 5);</w:t>
      </w:r>
    </w:p>
    <w:p w:rsidR="00DF1EB6" w:rsidRDefault="002F1DC5">
      <w:pPr>
        <w:spacing w:before="26" w:after="0"/>
        <w:ind w:left="746"/>
      </w:pPr>
      <w:r>
        <w:rPr>
          <w:color w:val="000000"/>
        </w:rPr>
        <w:t xml:space="preserve">(ix) </w:t>
      </w:r>
      <w:r>
        <w:rPr>
          <w:color w:val="1B1B1B"/>
        </w:rPr>
        <w:t>rozporządzenie</w:t>
      </w:r>
      <w:r>
        <w:rPr>
          <w:color w:val="000000"/>
        </w:rPr>
        <w:t xml:space="preserve"> Parlamentu Europejskiego i Rady (</w:t>
      </w:r>
      <w:r>
        <w:rPr>
          <w:color w:val="000000"/>
        </w:rPr>
        <w:t>WE) nr 443/2009 z dnia 23 kwietnia 2009 r. określające normy emisji dla nowych samochodów osobowych w ramach zintegrowanego podejścia Wspólnoty na rzecz zmniejszenia emisji CO</w:t>
      </w:r>
      <w:r>
        <w:rPr>
          <w:color w:val="000000"/>
          <w:vertAlign w:val="subscript"/>
        </w:rPr>
        <w:t>2</w:t>
      </w:r>
      <w:r>
        <w:rPr>
          <w:color w:val="000000"/>
        </w:rPr>
        <w:t xml:space="preserve"> z lekkich pojazdów dostawczych (</w:t>
      </w:r>
      <w:proofErr w:type="spellStart"/>
      <w:r>
        <w:rPr>
          <w:color w:val="000000"/>
        </w:rPr>
        <w:t>Dz.U</w:t>
      </w:r>
      <w:proofErr w:type="spellEnd"/>
      <w:r>
        <w:rPr>
          <w:color w:val="000000"/>
        </w:rPr>
        <w:t>. L 140 z 5.6.2009, s. 1);</w:t>
      </w:r>
    </w:p>
    <w:p w:rsidR="00DF1EB6" w:rsidRDefault="002F1DC5">
      <w:pPr>
        <w:spacing w:before="26" w:after="0"/>
        <w:ind w:left="746"/>
      </w:pPr>
      <w:r>
        <w:rPr>
          <w:color w:val="000000"/>
        </w:rPr>
        <w:t xml:space="preserve">(x) </w:t>
      </w:r>
      <w:r>
        <w:rPr>
          <w:color w:val="1B1B1B"/>
        </w:rPr>
        <w:t>rozporządzenie</w:t>
      </w:r>
      <w:r>
        <w:rPr>
          <w:color w:val="000000"/>
        </w:rPr>
        <w:t xml:space="preserve"> Parlamentu Europejskiego i Rady (WE) nr 1005/2009 z dnia 16 września 2009 r. w sprawie substancji zubożających warstwę ozonową (</w:t>
      </w:r>
      <w:proofErr w:type="spellStart"/>
      <w:r>
        <w:rPr>
          <w:color w:val="000000"/>
        </w:rPr>
        <w:t>Dz.U</w:t>
      </w:r>
      <w:proofErr w:type="spellEnd"/>
      <w:r>
        <w:rPr>
          <w:color w:val="000000"/>
        </w:rPr>
        <w:t>. L 286 z 31.10.2009, s. 1);</w:t>
      </w:r>
    </w:p>
    <w:p w:rsidR="00DF1EB6" w:rsidRDefault="002F1DC5">
      <w:pPr>
        <w:spacing w:before="26" w:after="0"/>
        <w:ind w:left="746"/>
      </w:pPr>
      <w:r>
        <w:rPr>
          <w:color w:val="000000"/>
        </w:rPr>
        <w:t xml:space="preserve">(xi) </w:t>
      </w:r>
      <w:r>
        <w:rPr>
          <w:color w:val="1B1B1B"/>
        </w:rPr>
        <w:t>dyrektywa</w:t>
      </w:r>
      <w:r>
        <w:rPr>
          <w:color w:val="000000"/>
        </w:rPr>
        <w:t xml:space="preserve"> Parlamentu Europejskiego i Rady 2009/126/WE z dnia 21 października 2009 r. w sprawie odzyskiwania oparów paliwa na etapie II podczas tankowania pojazdów silnikowych na stacjach paliw (</w:t>
      </w:r>
      <w:proofErr w:type="spellStart"/>
      <w:r>
        <w:rPr>
          <w:color w:val="000000"/>
        </w:rPr>
        <w:t>Dz.U</w:t>
      </w:r>
      <w:proofErr w:type="spellEnd"/>
      <w:r>
        <w:rPr>
          <w:color w:val="000000"/>
        </w:rPr>
        <w:t>. L 285 z 31.10.2009, s. 36);</w:t>
      </w:r>
    </w:p>
    <w:p w:rsidR="00DF1EB6" w:rsidRDefault="002F1DC5">
      <w:pPr>
        <w:spacing w:before="26" w:after="0"/>
        <w:ind w:left="746"/>
      </w:pPr>
      <w:r>
        <w:rPr>
          <w:color w:val="000000"/>
        </w:rPr>
        <w:t xml:space="preserve">(xii) </w:t>
      </w:r>
      <w:r>
        <w:rPr>
          <w:color w:val="1B1B1B"/>
        </w:rPr>
        <w:t>rozporządzenie</w:t>
      </w:r>
      <w:r>
        <w:rPr>
          <w:color w:val="000000"/>
        </w:rPr>
        <w:t xml:space="preserve"> Parlamentu Europ</w:t>
      </w:r>
      <w:r>
        <w:rPr>
          <w:color w:val="000000"/>
        </w:rPr>
        <w:t>ejskiego i Rady (UE) nr 510/2011 z dnia 11 maja 2011 r. określające normy emisji dla nowych lekkich samochodów dostawczych w ramach zintegrowanego podejścia Unii na rzecz zmniejszenia emisji CO</w:t>
      </w:r>
      <w:r>
        <w:rPr>
          <w:color w:val="000000"/>
          <w:vertAlign w:val="subscript"/>
        </w:rPr>
        <w:t>2</w:t>
      </w:r>
      <w:r>
        <w:rPr>
          <w:color w:val="000000"/>
        </w:rPr>
        <w:t xml:space="preserve"> z lekkich pojazdów dostawczych (</w:t>
      </w:r>
      <w:proofErr w:type="spellStart"/>
      <w:r>
        <w:rPr>
          <w:color w:val="000000"/>
        </w:rPr>
        <w:t>Dz.U</w:t>
      </w:r>
      <w:proofErr w:type="spellEnd"/>
      <w:r>
        <w:rPr>
          <w:color w:val="000000"/>
        </w:rPr>
        <w:t>. L 145 z 31.5.2011, s. 1</w:t>
      </w:r>
      <w:r>
        <w:rPr>
          <w:color w:val="000000"/>
        </w:rPr>
        <w:t>);</w:t>
      </w:r>
    </w:p>
    <w:p w:rsidR="00DF1EB6" w:rsidRDefault="002F1DC5">
      <w:pPr>
        <w:spacing w:before="26" w:after="0"/>
        <w:ind w:left="746"/>
      </w:pPr>
      <w:r>
        <w:rPr>
          <w:color w:val="000000"/>
        </w:rPr>
        <w:t xml:space="preserve">(xiii) </w:t>
      </w:r>
      <w:r>
        <w:rPr>
          <w:color w:val="1B1B1B"/>
        </w:rPr>
        <w:t>dyrektywa</w:t>
      </w:r>
      <w:r>
        <w:rPr>
          <w:color w:val="000000"/>
        </w:rPr>
        <w:t xml:space="preserve"> Parlamentu Europejskiego i Rady 2014/94/UE z dnia 22 października 2014 r. w sprawie rozwoju infrastruktury paliw alternatywnych (</w:t>
      </w:r>
      <w:proofErr w:type="spellStart"/>
      <w:r>
        <w:rPr>
          <w:color w:val="000000"/>
        </w:rPr>
        <w:t>Dz.U</w:t>
      </w:r>
      <w:proofErr w:type="spellEnd"/>
      <w:r>
        <w:rPr>
          <w:color w:val="000000"/>
        </w:rPr>
        <w:t>. L 307 z 28.10.2014, s. 1);</w:t>
      </w:r>
    </w:p>
    <w:p w:rsidR="00DF1EB6" w:rsidRDefault="002F1DC5">
      <w:pPr>
        <w:spacing w:before="26" w:after="0"/>
        <w:ind w:left="746"/>
      </w:pPr>
      <w:r>
        <w:rPr>
          <w:color w:val="000000"/>
        </w:rPr>
        <w:t xml:space="preserve">(xiv) </w:t>
      </w:r>
      <w:r>
        <w:rPr>
          <w:color w:val="1B1B1B"/>
        </w:rPr>
        <w:t>rozporządzenie</w:t>
      </w:r>
      <w:r>
        <w:rPr>
          <w:color w:val="000000"/>
        </w:rPr>
        <w:t xml:space="preserve"> Parlamentu Europejskiego i Rady (UE) 2015/757 z dnia </w:t>
      </w:r>
      <w:r>
        <w:rPr>
          <w:color w:val="000000"/>
        </w:rPr>
        <w:t>29 kwietnia 2015 r. w sprawie monitorowania, raportowania i weryfikacji emisji dwutlenku węgla z transportu morskiego oraz zmiany dyrektywy 2009/16/WE (</w:t>
      </w:r>
      <w:proofErr w:type="spellStart"/>
      <w:r>
        <w:rPr>
          <w:color w:val="000000"/>
        </w:rPr>
        <w:t>Dz.U</w:t>
      </w:r>
      <w:proofErr w:type="spellEnd"/>
      <w:r>
        <w:rPr>
          <w:color w:val="000000"/>
        </w:rPr>
        <w:t>. L 123 z 19.5.2015, s. 55);</w:t>
      </w:r>
    </w:p>
    <w:p w:rsidR="00DF1EB6" w:rsidRDefault="002F1DC5">
      <w:pPr>
        <w:spacing w:before="26" w:after="0"/>
        <w:ind w:left="746"/>
      </w:pPr>
      <w:r>
        <w:rPr>
          <w:color w:val="000000"/>
        </w:rPr>
        <w:t xml:space="preserve">(xv) </w:t>
      </w:r>
      <w:r>
        <w:rPr>
          <w:color w:val="1B1B1B"/>
        </w:rPr>
        <w:t>dyrektywa</w:t>
      </w:r>
      <w:r>
        <w:rPr>
          <w:color w:val="000000"/>
        </w:rPr>
        <w:t xml:space="preserve"> Parlamentu Europejskiego i Rady (UE) 2015/2193 z dnia 25</w:t>
      </w:r>
      <w:r>
        <w:rPr>
          <w:color w:val="000000"/>
        </w:rPr>
        <w:t xml:space="preserve"> listopada 2015 r. w sprawie ograniczenia emisji niektórych zanieczyszczeń do powietrza ze średnich obiektów energetycznego spalania (</w:t>
      </w:r>
      <w:proofErr w:type="spellStart"/>
      <w:r>
        <w:rPr>
          <w:color w:val="000000"/>
        </w:rPr>
        <w:t>Dz.U</w:t>
      </w:r>
      <w:proofErr w:type="spellEnd"/>
      <w:r>
        <w:rPr>
          <w:color w:val="000000"/>
        </w:rPr>
        <w:t>. L 313 z 28.11.2015, s. 1).</w:t>
      </w:r>
    </w:p>
    <w:p w:rsidR="00DF1EB6" w:rsidRDefault="002F1DC5">
      <w:pPr>
        <w:spacing w:before="26" w:after="0"/>
        <w:ind w:left="373"/>
      </w:pPr>
      <w:r>
        <w:rPr>
          <w:color w:val="000000"/>
        </w:rPr>
        <w:lastRenderedPageBreak/>
        <w:t>5. Przepisy dotyczące ochrony wód i gleby oraz zarządzania nimi, ustanowione w następując</w:t>
      </w:r>
      <w:r>
        <w:rPr>
          <w:color w:val="000000"/>
        </w:rPr>
        <w:t>ych aktach prawnych:</w:t>
      </w:r>
    </w:p>
    <w:p w:rsidR="00DF1EB6" w:rsidRDefault="002F1DC5">
      <w:pPr>
        <w:spacing w:after="0"/>
        <w:ind w:left="373"/>
      </w:pPr>
      <w:r>
        <w:rPr>
          <w:color w:val="000000"/>
        </w:rPr>
        <w:t xml:space="preserve">(i) </w:t>
      </w:r>
      <w:r>
        <w:rPr>
          <w:color w:val="1B1B1B"/>
        </w:rPr>
        <w:t>dyrektywa</w:t>
      </w:r>
      <w:r>
        <w:rPr>
          <w:color w:val="000000"/>
        </w:rPr>
        <w:t xml:space="preserve"> 2007/60/WE Parlamentu Europejskiego i Rady z dnia 23 października 2007 r. w sprawie oceny ryzyka powodziowego i zarządzania nim (</w:t>
      </w:r>
      <w:proofErr w:type="spellStart"/>
      <w:r>
        <w:rPr>
          <w:color w:val="000000"/>
        </w:rPr>
        <w:t>Dz.U</w:t>
      </w:r>
      <w:proofErr w:type="spellEnd"/>
      <w:r>
        <w:rPr>
          <w:color w:val="000000"/>
        </w:rPr>
        <w:t>. L 288 z 6.11.2007, s. 27);</w:t>
      </w:r>
    </w:p>
    <w:p w:rsidR="00DF1EB6" w:rsidRDefault="002F1DC5">
      <w:pPr>
        <w:spacing w:before="26" w:after="0"/>
        <w:ind w:left="746"/>
      </w:pPr>
      <w:r>
        <w:rPr>
          <w:color w:val="000000"/>
        </w:rPr>
        <w:t xml:space="preserve">(ii) </w:t>
      </w:r>
      <w:r>
        <w:rPr>
          <w:color w:val="1B1B1B"/>
        </w:rPr>
        <w:t>dyrektywa</w:t>
      </w:r>
      <w:r>
        <w:rPr>
          <w:color w:val="000000"/>
        </w:rPr>
        <w:t xml:space="preserve"> Parlamentu Europejskiego i Rady 2008/105/WE </w:t>
      </w:r>
      <w:r>
        <w:rPr>
          <w:color w:val="000000"/>
        </w:rPr>
        <w:t>z dnia 16 grudnia 2008 r. w sprawie środowiskowych norm jakości w dziedzinie polityki wodnej, zmieniająca i w następstwie uchylająca dyrektywy Rady 82/176/EWG, 83/513/EWG, 84/156/EWG, 84/491/EWG i 86/280/EWG oraz zmieniająca dyrektywę 2000/60/WE Parlamentu</w:t>
      </w:r>
      <w:r>
        <w:rPr>
          <w:color w:val="000000"/>
        </w:rPr>
        <w:t xml:space="preserve"> Europejskiego i Rady (</w:t>
      </w:r>
      <w:proofErr w:type="spellStart"/>
      <w:r>
        <w:rPr>
          <w:color w:val="000000"/>
        </w:rPr>
        <w:t>Dz.U</w:t>
      </w:r>
      <w:proofErr w:type="spellEnd"/>
      <w:r>
        <w:rPr>
          <w:color w:val="000000"/>
        </w:rPr>
        <w:t>. L 348 z 24.12.2008, s. 84);</w:t>
      </w:r>
    </w:p>
    <w:p w:rsidR="00DF1EB6" w:rsidRDefault="002F1DC5">
      <w:pPr>
        <w:spacing w:before="26" w:after="0"/>
        <w:ind w:left="746"/>
      </w:pPr>
      <w:r>
        <w:rPr>
          <w:color w:val="000000"/>
        </w:rPr>
        <w:t xml:space="preserve">(iii) </w:t>
      </w:r>
      <w:r>
        <w:rPr>
          <w:color w:val="1B1B1B"/>
        </w:rPr>
        <w:t>dyrektywa</w:t>
      </w:r>
      <w:r>
        <w:rPr>
          <w:color w:val="000000"/>
        </w:rPr>
        <w:t xml:space="preserve"> Parlamentu Europejskiego i Rady 2011/92/UE z dnia 13 grudnia 2011 r. w sprawie oceny skutków wywieranych przez niektóre przedsięwzięcia publiczne i prywatne na środowisko (</w:t>
      </w:r>
      <w:proofErr w:type="spellStart"/>
      <w:r>
        <w:rPr>
          <w:color w:val="000000"/>
        </w:rPr>
        <w:t>Dz.U</w:t>
      </w:r>
      <w:proofErr w:type="spellEnd"/>
      <w:r>
        <w:rPr>
          <w:color w:val="000000"/>
        </w:rPr>
        <w:t xml:space="preserve">. L 26 </w:t>
      </w:r>
      <w:r>
        <w:rPr>
          <w:color w:val="000000"/>
        </w:rPr>
        <w:t>z 28.1.2012, s. 1).</w:t>
      </w:r>
    </w:p>
    <w:p w:rsidR="00DF1EB6" w:rsidRDefault="002F1DC5">
      <w:pPr>
        <w:spacing w:before="26" w:after="0"/>
        <w:ind w:left="373"/>
      </w:pPr>
      <w:r>
        <w:rPr>
          <w:color w:val="000000"/>
        </w:rPr>
        <w:t>6. Przepisy dotyczące ochrony przyrody i różnorodności biologicznej, ustanowione w następujących aktach prawnych:</w:t>
      </w:r>
    </w:p>
    <w:p w:rsidR="00DF1EB6" w:rsidRDefault="002F1DC5">
      <w:pPr>
        <w:spacing w:before="26" w:after="0"/>
        <w:ind w:left="746"/>
      </w:pPr>
      <w:r>
        <w:rPr>
          <w:color w:val="000000"/>
        </w:rPr>
        <w:t xml:space="preserve">(i) </w:t>
      </w:r>
      <w:r>
        <w:rPr>
          <w:color w:val="1B1B1B"/>
        </w:rPr>
        <w:t>rozporządzenie</w:t>
      </w:r>
      <w:r>
        <w:rPr>
          <w:color w:val="000000"/>
        </w:rPr>
        <w:t xml:space="preserve"> Rady (WE) nr 1936/2001 z dnia 27 września 2001 r. ustanawiające środki kontroli stosowane do połowów ni</w:t>
      </w:r>
      <w:r>
        <w:rPr>
          <w:color w:val="000000"/>
        </w:rPr>
        <w:t>ektórych zasobów ryb masowo migrujących (</w:t>
      </w:r>
      <w:proofErr w:type="spellStart"/>
      <w:r>
        <w:rPr>
          <w:color w:val="000000"/>
        </w:rPr>
        <w:t>Dz.U</w:t>
      </w:r>
      <w:proofErr w:type="spellEnd"/>
      <w:r>
        <w:rPr>
          <w:color w:val="000000"/>
        </w:rPr>
        <w:t>. L 263 z 3.10.2001, s. 1);</w:t>
      </w:r>
    </w:p>
    <w:p w:rsidR="00DF1EB6" w:rsidRDefault="002F1DC5">
      <w:pPr>
        <w:spacing w:before="26" w:after="0"/>
        <w:ind w:left="746"/>
      </w:pPr>
      <w:r>
        <w:rPr>
          <w:color w:val="000000"/>
        </w:rPr>
        <w:t xml:space="preserve">(ii) </w:t>
      </w:r>
      <w:r>
        <w:rPr>
          <w:color w:val="1B1B1B"/>
        </w:rPr>
        <w:t>rozporządzenie</w:t>
      </w:r>
      <w:r>
        <w:rPr>
          <w:color w:val="000000"/>
        </w:rPr>
        <w:t xml:space="preserve"> Rady (WE) nr 812/2004 z dnia 26 kwietnia 2004 r. ustanawiające środki dotyczące przypadkowych odłowów waleni na łowiskach i zmieniające rozporządzenie (WE) nr 88/9</w:t>
      </w:r>
      <w:r>
        <w:rPr>
          <w:color w:val="000000"/>
        </w:rPr>
        <w:t>8 (</w:t>
      </w:r>
      <w:proofErr w:type="spellStart"/>
      <w:r>
        <w:rPr>
          <w:color w:val="000000"/>
        </w:rPr>
        <w:t>Dz.U</w:t>
      </w:r>
      <w:proofErr w:type="spellEnd"/>
      <w:r>
        <w:rPr>
          <w:color w:val="000000"/>
        </w:rPr>
        <w:t>. L 150 z 30.4.2004, s. 12);</w:t>
      </w:r>
    </w:p>
    <w:p w:rsidR="00DF1EB6" w:rsidRDefault="002F1DC5">
      <w:pPr>
        <w:spacing w:before="26" w:after="0"/>
        <w:ind w:left="746"/>
      </w:pPr>
      <w:r>
        <w:rPr>
          <w:color w:val="000000"/>
        </w:rPr>
        <w:t xml:space="preserve">(iii) </w:t>
      </w:r>
      <w:r>
        <w:rPr>
          <w:color w:val="1B1B1B"/>
        </w:rPr>
        <w:t>rozporządzenie</w:t>
      </w:r>
      <w:r>
        <w:rPr>
          <w:color w:val="000000"/>
        </w:rPr>
        <w:t xml:space="preserve"> Parlamentu Europejskiego i Rady (WE) nr 1007/2009 z dnia 16 września 2009 r. w sprawie handlu produktami z fok (</w:t>
      </w:r>
      <w:proofErr w:type="spellStart"/>
      <w:r>
        <w:rPr>
          <w:color w:val="000000"/>
        </w:rPr>
        <w:t>Dz.U</w:t>
      </w:r>
      <w:proofErr w:type="spellEnd"/>
      <w:r>
        <w:rPr>
          <w:color w:val="000000"/>
        </w:rPr>
        <w:t>. L 286 z 31.10.2009, s. 36);</w:t>
      </w:r>
    </w:p>
    <w:p w:rsidR="00DF1EB6" w:rsidRDefault="002F1DC5">
      <w:pPr>
        <w:spacing w:before="26" w:after="0"/>
        <w:ind w:left="746"/>
      </w:pPr>
      <w:r>
        <w:rPr>
          <w:color w:val="000000"/>
        </w:rPr>
        <w:t xml:space="preserve">(iv) </w:t>
      </w:r>
      <w:r>
        <w:rPr>
          <w:color w:val="1B1B1B"/>
        </w:rPr>
        <w:t>rozporządzenie</w:t>
      </w:r>
      <w:r>
        <w:rPr>
          <w:color w:val="000000"/>
        </w:rPr>
        <w:t xml:space="preserve"> Rady (WE) nr 734/2008 z dnia 15 l</w:t>
      </w:r>
      <w:r>
        <w:rPr>
          <w:color w:val="000000"/>
        </w:rPr>
        <w:t>ipca 2008 r. w sprawie ochrony wrażliwych ekosystemów morskich na pełnym morzu przed niekorzystnym wpływem przydennych narzędzi połowowych (</w:t>
      </w:r>
      <w:proofErr w:type="spellStart"/>
      <w:r>
        <w:rPr>
          <w:color w:val="000000"/>
        </w:rPr>
        <w:t>Dz.U</w:t>
      </w:r>
      <w:proofErr w:type="spellEnd"/>
      <w:r>
        <w:rPr>
          <w:color w:val="000000"/>
        </w:rPr>
        <w:t>. L 201 z 30.7.2008, s. 8);</w:t>
      </w:r>
    </w:p>
    <w:p w:rsidR="00DF1EB6" w:rsidRDefault="002F1DC5">
      <w:pPr>
        <w:spacing w:before="26" w:after="0"/>
        <w:ind w:left="746"/>
      </w:pPr>
      <w:r>
        <w:rPr>
          <w:color w:val="000000"/>
        </w:rPr>
        <w:t xml:space="preserve">(v) </w:t>
      </w:r>
      <w:r>
        <w:rPr>
          <w:color w:val="1B1B1B"/>
        </w:rPr>
        <w:t>dyrektywa</w:t>
      </w:r>
      <w:r>
        <w:rPr>
          <w:color w:val="000000"/>
        </w:rPr>
        <w:t xml:space="preserve"> Parlamentu Europejskiego i Rady 2009/147/WE z dnia 30 listopada 2009 r</w:t>
      </w:r>
      <w:r>
        <w:rPr>
          <w:color w:val="000000"/>
        </w:rPr>
        <w:t>. w sprawie ochrony dzikiego ptactwa (</w:t>
      </w:r>
      <w:proofErr w:type="spellStart"/>
      <w:r>
        <w:rPr>
          <w:color w:val="000000"/>
        </w:rPr>
        <w:t>Dz.U</w:t>
      </w:r>
      <w:proofErr w:type="spellEnd"/>
      <w:r>
        <w:rPr>
          <w:color w:val="000000"/>
        </w:rPr>
        <w:t>. L 20 z 26.1.2010, s. 7);</w:t>
      </w:r>
    </w:p>
    <w:p w:rsidR="00DF1EB6" w:rsidRDefault="002F1DC5">
      <w:pPr>
        <w:spacing w:before="26" w:after="0"/>
        <w:ind w:left="746"/>
      </w:pPr>
      <w:r>
        <w:rPr>
          <w:color w:val="000000"/>
        </w:rPr>
        <w:t xml:space="preserve">(vi) </w:t>
      </w:r>
      <w:r>
        <w:rPr>
          <w:color w:val="1B1B1B"/>
        </w:rPr>
        <w:t>rozporządzenie</w:t>
      </w:r>
      <w:r>
        <w:rPr>
          <w:color w:val="000000"/>
        </w:rPr>
        <w:t xml:space="preserve"> Parlamentu Europejskiego i Rady (UE) nr 995/2010 z dnia 20 października 2010 r. ustanawiające obowiązki podmiotów wprowadzających do obrotu drewno i produkty z drewna </w:t>
      </w:r>
      <w:r>
        <w:rPr>
          <w:color w:val="000000"/>
        </w:rPr>
        <w:t>(</w:t>
      </w:r>
      <w:proofErr w:type="spellStart"/>
      <w:r>
        <w:rPr>
          <w:color w:val="000000"/>
        </w:rPr>
        <w:t>Dz.U</w:t>
      </w:r>
      <w:proofErr w:type="spellEnd"/>
      <w:r>
        <w:rPr>
          <w:color w:val="000000"/>
        </w:rPr>
        <w:t>. L 295 z 12.11.2010, s. 23);</w:t>
      </w:r>
    </w:p>
    <w:p w:rsidR="00DF1EB6" w:rsidRDefault="002F1DC5">
      <w:pPr>
        <w:spacing w:before="26" w:after="0"/>
        <w:ind w:left="746"/>
      </w:pPr>
      <w:r>
        <w:rPr>
          <w:color w:val="000000"/>
        </w:rPr>
        <w:t xml:space="preserve">(vii) </w:t>
      </w:r>
      <w:r>
        <w:rPr>
          <w:color w:val="1B1B1B"/>
        </w:rPr>
        <w:t>rozporządzenie</w:t>
      </w:r>
      <w:r>
        <w:rPr>
          <w:color w:val="000000"/>
        </w:rPr>
        <w:t xml:space="preserve"> Parlamentu Europejskiego i Rady (UE) nr 1143/2014 z dnia 22 października 2014 r. w sprawie działań zapobiegawczych i zaradczych w odniesieniu do wprowadzania i rozprzestrzeniania inwazyjnych gatunków </w:t>
      </w:r>
      <w:r>
        <w:rPr>
          <w:color w:val="000000"/>
        </w:rPr>
        <w:t>obcych (</w:t>
      </w:r>
      <w:proofErr w:type="spellStart"/>
      <w:r>
        <w:rPr>
          <w:color w:val="000000"/>
        </w:rPr>
        <w:t>Dz.U</w:t>
      </w:r>
      <w:proofErr w:type="spellEnd"/>
      <w:r>
        <w:rPr>
          <w:color w:val="000000"/>
        </w:rPr>
        <w:t>. L 317 z 4.11.2014, s. 35).</w:t>
      </w:r>
    </w:p>
    <w:p w:rsidR="00DF1EB6" w:rsidRDefault="002F1DC5">
      <w:pPr>
        <w:spacing w:before="26" w:after="0"/>
        <w:ind w:left="373"/>
      </w:pPr>
      <w:r>
        <w:rPr>
          <w:color w:val="000000"/>
        </w:rPr>
        <w:t xml:space="preserve">7. Przepisy dotyczące chemikaliów, ustanowione w </w:t>
      </w:r>
      <w:r>
        <w:rPr>
          <w:color w:val="1B1B1B"/>
        </w:rPr>
        <w:t>rozporządzeniu</w:t>
      </w:r>
      <w:r>
        <w:rPr>
          <w:color w:val="000000"/>
        </w:rPr>
        <w:t xml:space="preserve"> (WE) nr 1907/2006 Parlamentu Europejskiego i Rady z dnia 18 grudnia 2006 r. w sprawie rejestracji, oceny, udzielania zezwoleń i stosowanych ograniczeń </w:t>
      </w:r>
      <w:r>
        <w:rPr>
          <w:color w:val="000000"/>
        </w:rPr>
        <w:t>w zakresie chemikaliów (REACH) i utworzenia Europejskiej Agencji Chemikaliów, zmieniającym dyrektywę 1999/45/WE oraz uchylającym rozporządzenie Rady (EWG) nr 793/93 i rozporządzenie Komisji (WE) nr 1488/94, jak również dyrektywę Rady 76/769/EWG i dyrektywy</w:t>
      </w:r>
      <w:r>
        <w:rPr>
          <w:color w:val="000000"/>
        </w:rPr>
        <w:t xml:space="preserve"> Komisji 91/155/EWG, 93/67/EWG, 93/105/WE i 2000/21/WE (</w:t>
      </w:r>
      <w:proofErr w:type="spellStart"/>
      <w:r>
        <w:rPr>
          <w:color w:val="000000"/>
        </w:rPr>
        <w:t>Dz.U</w:t>
      </w:r>
      <w:proofErr w:type="spellEnd"/>
      <w:r>
        <w:rPr>
          <w:color w:val="000000"/>
        </w:rPr>
        <w:t>. L 396 z 30.12.2006, s. 1).</w:t>
      </w:r>
    </w:p>
    <w:p w:rsidR="00DF1EB6" w:rsidRDefault="002F1DC5">
      <w:pPr>
        <w:spacing w:before="26" w:after="0"/>
        <w:ind w:left="373"/>
      </w:pPr>
      <w:r>
        <w:rPr>
          <w:color w:val="000000"/>
        </w:rPr>
        <w:lastRenderedPageBreak/>
        <w:t xml:space="preserve">8. Przepisy dotyczące produktów ekologicznych, ustanowione w </w:t>
      </w:r>
      <w:r>
        <w:rPr>
          <w:color w:val="1B1B1B"/>
        </w:rPr>
        <w:t>rozporządzeniu</w:t>
      </w:r>
      <w:r>
        <w:rPr>
          <w:color w:val="000000"/>
        </w:rPr>
        <w:t xml:space="preserve"> Parlamentu Europejskiego i Rady (UE) 2018/848 z dnia 30 maja 2018 r. w sprawie produkcji ek</w:t>
      </w:r>
      <w:r>
        <w:rPr>
          <w:color w:val="000000"/>
        </w:rPr>
        <w:t>ologicznej i znakowania produktów ekologicznych i uchylającym rozporządzenie Rady (WE) nr 834/2007 (</w:t>
      </w:r>
      <w:proofErr w:type="spellStart"/>
      <w:r>
        <w:rPr>
          <w:color w:val="000000"/>
        </w:rPr>
        <w:t>Dz.U</w:t>
      </w:r>
      <w:proofErr w:type="spellEnd"/>
      <w:r>
        <w:rPr>
          <w:color w:val="000000"/>
        </w:rPr>
        <w:t>. L 150 z 14.6.2018, s. 1).</w:t>
      </w:r>
    </w:p>
    <w:p w:rsidR="00DF1EB6" w:rsidRDefault="002F1DC5">
      <w:pPr>
        <w:spacing w:after="0"/>
        <w:ind w:left="373"/>
      </w:pPr>
      <w:r>
        <w:rPr>
          <w:color w:val="000000"/>
        </w:rPr>
        <w:t xml:space="preserve">F. Art. 2 ust. 1 lit. a) </w:t>
      </w:r>
      <w:proofErr w:type="spellStart"/>
      <w:r>
        <w:rPr>
          <w:color w:val="000000"/>
        </w:rPr>
        <w:t>ppkt</w:t>
      </w:r>
      <w:proofErr w:type="spellEnd"/>
      <w:r>
        <w:rPr>
          <w:color w:val="000000"/>
        </w:rPr>
        <w:t xml:space="preserve"> (vi) - ochrona radiologiczna i bezpieczeństwo jądrowe</w:t>
      </w:r>
    </w:p>
    <w:p w:rsidR="00DF1EB6" w:rsidRDefault="002F1DC5">
      <w:pPr>
        <w:spacing w:before="25" w:after="0"/>
        <w:ind w:left="373"/>
        <w:jc w:val="both"/>
      </w:pPr>
      <w:r>
        <w:rPr>
          <w:color w:val="000000"/>
        </w:rPr>
        <w:t xml:space="preserve">Przepisy dotyczące bezpieczeństwa </w:t>
      </w:r>
      <w:r>
        <w:rPr>
          <w:color w:val="000000"/>
        </w:rPr>
        <w:t>jądrowego, ustanowione w następujących aktach prawnych:</w:t>
      </w:r>
    </w:p>
    <w:p w:rsidR="00DF1EB6" w:rsidRDefault="002F1DC5">
      <w:pPr>
        <w:spacing w:after="0"/>
        <w:ind w:left="373"/>
      </w:pPr>
      <w:r>
        <w:rPr>
          <w:color w:val="000000"/>
        </w:rPr>
        <w:t>(i) dyrektywa Rady 2009/71/Euratom z dnia 25 czerwca 2009 r. ustanawiająca wspólnotowe ramy bezpieczeństwa jądrowego obiektów jądrowych (</w:t>
      </w:r>
      <w:proofErr w:type="spellStart"/>
      <w:r>
        <w:rPr>
          <w:color w:val="000000"/>
        </w:rPr>
        <w:t>Dz.U</w:t>
      </w:r>
      <w:proofErr w:type="spellEnd"/>
      <w:r>
        <w:rPr>
          <w:color w:val="000000"/>
        </w:rPr>
        <w:t>. L 172 z 2.7.2009, s. 18);</w:t>
      </w:r>
    </w:p>
    <w:p w:rsidR="00DF1EB6" w:rsidRDefault="002F1DC5">
      <w:pPr>
        <w:spacing w:before="26" w:after="0"/>
        <w:ind w:left="746"/>
      </w:pPr>
      <w:r>
        <w:rPr>
          <w:color w:val="000000"/>
        </w:rPr>
        <w:t xml:space="preserve">(ii) </w:t>
      </w:r>
      <w:r>
        <w:rPr>
          <w:color w:val="1B1B1B"/>
        </w:rPr>
        <w:t>dyrektywa</w:t>
      </w:r>
      <w:r>
        <w:rPr>
          <w:color w:val="000000"/>
        </w:rPr>
        <w:t xml:space="preserve"> Rady 2013/51/Eur</w:t>
      </w:r>
      <w:r>
        <w:rPr>
          <w:color w:val="000000"/>
        </w:rPr>
        <w:t>atom z dnia 22 października 2013 r. określająca wymogi dotyczące ochrony zdrowia ludności w odniesieniu do substancji promieniotwórczych w wodzie przeznaczonej do spożycia przez ludzi (</w:t>
      </w:r>
      <w:proofErr w:type="spellStart"/>
      <w:r>
        <w:rPr>
          <w:color w:val="000000"/>
        </w:rPr>
        <w:t>Dz.U</w:t>
      </w:r>
      <w:proofErr w:type="spellEnd"/>
      <w:r>
        <w:rPr>
          <w:color w:val="000000"/>
        </w:rPr>
        <w:t>. L 296 z 7.11.2013, s. 12);</w:t>
      </w:r>
    </w:p>
    <w:p w:rsidR="00DF1EB6" w:rsidRDefault="002F1DC5">
      <w:pPr>
        <w:spacing w:before="26" w:after="0"/>
        <w:ind w:left="746"/>
      </w:pPr>
      <w:r>
        <w:rPr>
          <w:color w:val="000000"/>
        </w:rPr>
        <w:t xml:space="preserve">(iii) </w:t>
      </w:r>
      <w:r>
        <w:rPr>
          <w:color w:val="1B1B1B"/>
        </w:rPr>
        <w:t>dyrektywa</w:t>
      </w:r>
      <w:r>
        <w:rPr>
          <w:color w:val="000000"/>
        </w:rPr>
        <w:t xml:space="preserve"> Rady 2013/59/Euratom z</w:t>
      </w:r>
      <w:r>
        <w:rPr>
          <w:color w:val="000000"/>
        </w:rPr>
        <w:t xml:space="preserve"> dnia 5 grudnia 2013 r. ustanawiająca podstawowe normy bezpieczeństwa w celu ochrony przed zagrożeniami wynikającymi z narażenia na działanie promieniowania jonizującego oraz uchylająca dyrektywy 89/618/Euratom, 90/641/Euratom, 96/29/Euratom, 97/43/Euratom</w:t>
      </w:r>
      <w:r>
        <w:rPr>
          <w:color w:val="000000"/>
        </w:rPr>
        <w:t xml:space="preserve"> i 2003/122/Euratom (</w:t>
      </w:r>
      <w:proofErr w:type="spellStart"/>
      <w:r>
        <w:rPr>
          <w:color w:val="000000"/>
        </w:rPr>
        <w:t>Dz.U</w:t>
      </w:r>
      <w:proofErr w:type="spellEnd"/>
      <w:r>
        <w:rPr>
          <w:color w:val="000000"/>
        </w:rPr>
        <w:t>. L 13 z 17.1.2014, s. 1);</w:t>
      </w:r>
    </w:p>
    <w:p w:rsidR="00DF1EB6" w:rsidRDefault="002F1DC5">
      <w:pPr>
        <w:spacing w:before="26" w:after="0"/>
        <w:ind w:left="746"/>
      </w:pPr>
      <w:r>
        <w:rPr>
          <w:color w:val="000000"/>
        </w:rPr>
        <w:t xml:space="preserve">(iv) </w:t>
      </w:r>
      <w:r>
        <w:rPr>
          <w:color w:val="1B1B1B"/>
        </w:rPr>
        <w:t>dyrektywa</w:t>
      </w:r>
      <w:r>
        <w:rPr>
          <w:color w:val="000000"/>
        </w:rPr>
        <w:t xml:space="preserve"> Rady 2011/70/Euratom z dnia 19 lipca 2011 r. ustanawiająca ramy wspólnotowe w zakresie odpowiedzialnego i bezpiecznego gospodarowania wypalonym paliwem jądrowym i odpadami promieniotwórczymi (</w:t>
      </w:r>
      <w:proofErr w:type="spellStart"/>
      <w:r>
        <w:rPr>
          <w:color w:val="000000"/>
        </w:rPr>
        <w:t>Dz.U</w:t>
      </w:r>
      <w:proofErr w:type="spellEnd"/>
      <w:r>
        <w:rPr>
          <w:color w:val="000000"/>
        </w:rPr>
        <w:t>. L 199 z 2.8.2011, s. 48);</w:t>
      </w:r>
    </w:p>
    <w:p w:rsidR="00DF1EB6" w:rsidRDefault="002F1DC5">
      <w:pPr>
        <w:spacing w:before="26" w:after="0"/>
        <w:ind w:left="746"/>
      </w:pPr>
      <w:r>
        <w:rPr>
          <w:color w:val="000000"/>
        </w:rPr>
        <w:t xml:space="preserve">(v) </w:t>
      </w:r>
      <w:r>
        <w:rPr>
          <w:color w:val="1B1B1B"/>
        </w:rPr>
        <w:t>dyrektywa</w:t>
      </w:r>
      <w:r>
        <w:rPr>
          <w:color w:val="000000"/>
        </w:rPr>
        <w:t xml:space="preserve"> Rady 2006/117/Eur</w:t>
      </w:r>
      <w:r>
        <w:rPr>
          <w:color w:val="000000"/>
        </w:rPr>
        <w:t>atom z dnia 20 listopada 2006 r. w sprawie nadzoru i kontroli nad przemieszczaniem odpadów promieniotwórczych oraz wypalonego paliwa jądrowego (</w:t>
      </w:r>
      <w:proofErr w:type="spellStart"/>
      <w:r>
        <w:rPr>
          <w:color w:val="000000"/>
        </w:rPr>
        <w:t>Dz.U</w:t>
      </w:r>
      <w:proofErr w:type="spellEnd"/>
      <w:r>
        <w:rPr>
          <w:color w:val="000000"/>
        </w:rPr>
        <w:t>. L 337 z 5.12.2006, s. 21);</w:t>
      </w:r>
    </w:p>
    <w:p w:rsidR="00DF1EB6" w:rsidRDefault="002F1DC5">
      <w:pPr>
        <w:spacing w:before="26" w:after="0"/>
        <w:ind w:left="746"/>
      </w:pPr>
      <w:r>
        <w:rPr>
          <w:color w:val="000000"/>
        </w:rPr>
        <w:t xml:space="preserve">(vi) </w:t>
      </w:r>
      <w:r>
        <w:rPr>
          <w:color w:val="1B1B1B"/>
        </w:rPr>
        <w:t>rozporządzenie</w:t>
      </w:r>
      <w:r>
        <w:rPr>
          <w:color w:val="000000"/>
        </w:rPr>
        <w:t xml:space="preserve"> Rady (Euratom) 2016/52 z dnia 15 stycznia 2016 r. określają</w:t>
      </w:r>
      <w:r>
        <w:rPr>
          <w:color w:val="000000"/>
        </w:rPr>
        <w:t>ce maksymalne dozwolone poziomy skażenia promieniotwórczego żywności i pasz po awarii jądrowej lub w innym przypadku zdarzenia radiacyjnego oraz uchylające rozporządzenie (Euratom) nr 3954/87 oraz rozporządzenia Komisji (Euratom) nr 944/89 i (Euratom) nr 7</w:t>
      </w:r>
      <w:r>
        <w:rPr>
          <w:color w:val="000000"/>
        </w:rPr>
        <w:t>70/90 (</w:t>
      </w:r>
      <w:proofErr w:type="spellStart"/>
      <w:r>
        <w:rPr>
          <w:color w:val="000000"/>
        </w:rPr>
        <w:t>Dz.U</w:t>
      </w:r>
      <w:proofErr w:type="spellEnd"/>
      <w:r>
        <w:rPr>
          <w:color w:val="000000"/>
        </w:rPr>
        <w:t>. L 13 z 20.1.2016, s. 2);</w:t>
      </w:r>
    </w:p>
    <w:p w:rsidR="00DF1EB6" w:rsidRDefault="002F1DC5">
      <w:pPr>
        <w:spacing w:before="26" w:after="0"/>
        <w:ind w:left="746"/>
      </w:pPr>
      <w:r>
        <w:rPr>
          <w:color w:val="000000"/>
        </w:rPr>
        <w:t xml:space="preserve">(vii) </w:t>
      </w:r>
      <w:r>
        <w:rPr>
          <w:color w:val="1B1B1B"/>
        </w:rPr>
        <w:t>rozporządzenie</w:t>
      </w:r>
      <w:r>
        <w:rPr>
          <w:color w:val="000000"/>
        </w:rPr>
        <w:t xml:space="preserve"> Rady (Euratom) nr 1493/93 z dnia 8 czerwca 1993 r. w sprawie przesyłania substancji radioaktywnych między Państwami Członkowskimi (</w:t>
      </w:r>
      <w:proofErr w:type="spellStart"/>
      <w:r>
        <w:rPr>
          <w:color w:val="000000"/>
        </w:rPr>
        <w:t>Dz.U</w:t>
      </w:r>
      <w:proofErr w:type="spellEnd"/>
      <w:r>
        <w:rPr>
          <w:color w:val="000000"/>
        </w:rPr>
        <w:t>. L 148 z 19.6.1993, s. 1).</w:t>
      </w:r>
    </w:p>
    <w:p w:rsidR="00DF1EB6" w:rsidRDefault="002F1DC5">
      <w:pPr>
        <w:spacing w:after="0"/>
        <w:ind w:left="746"/>
      </w:pPr>
      <w:r>
        <w:rPr>
          <w:color w:val="000000"/>
        </w:rPr>
        <w:t xml:space="preserve">G. Art. 2 ust. 1 lit. a) </w:t>
      </w:r>
      <w:proofErr w:type="spellStart"/>
      <w:r>
        <w:rPr>
          <w:color w:val="000000"/>
        </w:rPr>
        <w:t>ppkt</w:t>
      </w:r>
      <w:proofErr w:type="spellEnd"/>
      <w:r>
        <w:rPr>
          <w:color w:val="000000"/>
        </w:rPr>
        <w:t xml:space="preserve"> (vii</w:t>
      </w:r>
      <w:r>
        <w:rPr>
          <w:color w:val="000000"/>
        </w:rPr>
        <w:t>) - bezpieczeństwo żywności i pasz, zdrowie i dobrostan zwierząt:</w:t>
      </w:r>
    </w:p>
    <w:p w:rsidR="00DF1EB6" w:rsidRDefault="002F1DC5">
      <w:pPr>
        <w:spacing w:before="26" w:after="0"/>
        <w:ind w:left="373"/>
      </w:pPr>
      <w:r>
        <w:rPr>
          <w:color w:val="000000"/>
        </w:rPr>
        <w:t xml:space="preserve">1. Unijne prawo żywnościowe i paszowe podlegające ogólnym zasadom i wymaganiom określonym w </w:t>
      </w:r>
      <w:r>
        <w:rPr>
          <w:color w:val="1B1B1B"/>
        </w:rPr>
        <w:t>rozporządzeniu</w:t>
      </w:r>
      <w:r>
        <w:rPr>
          <w:color w:val="000000"/>
        </w:rPr>
        <w:t xml:space="preserve"> (WE) nr 178/2002 Parlamentu Europejskiego i Rady z dnia 28 stycznia 2002 r. ustanaw</w:t>
      </w:r>
      <w:r>
        <w:rPr>
          <w:color w:val="000000"/>
        </w:rPr>
        <w:t>iającym ogólne zasady i wymagania prawa żywnościowego, powołującym Europejski Urząd ds. Bezpieczeństwa Żywności oraz ustanawiającym procedury w zakresie bezpieczeństwa żywności (</w:t>
      </w:r>
      <w:proofErr w:type="spellStart"/>
      <w:r>
        <w:rPr>
          <w:color w:val="000000"/>
        </w:rPr>
        <w:t>Dz.U</w:t>
      </w:r>
      <w:proofErr w:type="spellEnd"/>
      <w:r>
        <w:rPr>
          <w:color w:val="000000"/>
        </w:rPr>
        <w:t>. L 31 z 1.2.2002, s. 1).</w:t>
      </w:r>
    </w:p>
    <w:p w:rsidR="00DF1EB6" w:rsidRDefault="002F1DC5">
      <w:pPr>
        <w:spacing w:before="26" w:after="0"/>
        <w:ind w:left="373"/>
      </w:pPr>
      <w:r>
        <w:rPr>
          <w:color w:val="000000"/>
        </w:rPr>
        <w:t>2. Zdrowie zwierząt, regulowane następującymi ak</w:t>
      </w:r>
      <w:r>
        <w:rPr>
          <w:color w:val="000000"/>
        </w:rPr>
        <w:t>tami prawnymi:</w:t>
      </w:r>
    </w:p>
    <w:p w:rsidR="00DF1EB6" w:rsidRDefault="002F1DC5">
      <w:pPr>
        <w:spacing w:after="0"/>
        <w:ind w:left="373"/>
      </w:pPr>
      <w:r>
        <w:rPr>
          <w:color w:val="000000"/>
        </w:rPr>
        <w:lastRenderedPageBreak/>
        <w:t xml:space="preserve">(i) </w:t>
      </w:r>
      <w:r>
        <w:rPr>
          <w:color w:val="1B1B1B"/>
        </w:rPr>
        <w:t>rozporządzenie</w:t>
      </w:r>
      <w:r>
        <w:rPr>
          <w:color w:val="000000"/>
        </w:rPr>
        <w:t xml:space="preserve"> Parlamentu Europejskiego i Rady (UE) 2016/429 z dnia 9 marca 2016 r. w sprawie przenośnych chorób zwierząt oraz zmieniające i uchylające niektóre akty w dziedzinie zdrowia zwierząt ("Prawo o zdrowiu zwierząt") (</w:t>
      </w:r>
      <w:proofErr w:type="spellStart"/>
      <w:r>
        <w:rPr>
          <w:color w:val="000000"/>
        </w:rPr>
        <w:t>Dz.U</w:t>
      </w:r>
      <w:proofErr w:type="spellEnd"/>
      <w:r>
        <w:rPr>
          <w:color w:val="000000"/>
        </w:rPr>
        <w:t xml:space="preserve">. L 84 </w:t>
      </w:r>
      <w:r>
        <w:rPr>
          <w:color w:val="000000"/>
        </w:rPr>
        <w:t>z 31.3.2016, s. 1);</w:t>
      </w:r>
    </w:p>
    <w:p w:rsidR="00DF1EB6" w:rsidRDefault="002F1DC5">
      <w:pPr>
        <w:spacing w:before="26" w:after="0"/>
        <w:ind w:left="746"/>
      </w:pPr>
      <w:r>
        <w:rPr>
          <w:color w:val="000000"/>
        </w:rPr>
        <w:t xml:space="preserve">(ii) </w:t>
      </w:r>
      <w:r>
        <w:rPr>
          <w:color w:val="1B1B1B"/>
        </w:rPr>
        <w:t>rozporządzenie</w:t>
      </w:r>
      <w:r>
        <w:rPr>
          <w:color w:val="000000"/>
        </w:rPr>
        <w:t xml:space="preserve"> Parlamentu Europejskiego i Rady (WE) nr 1069/2009 z dnia 21 października 2009 r. określające przepisy sanitarne dotyczące produktów ubocznych pochodzenia zwierzęcego, nieprzeznaczonych do spożycia przez ludzi, i uchy</w:t>
      </w:r>
      <w:r>
        <w:rPr>
          <w:color w:val="000000"/>
        </w:rPr>
        <w:t>lające rozporządzenie (WE) nr 1774/2002 (rozporządzenie o produktach ubocznych pochodzenia zwierzęcego) (</w:t>
      </w:r>
      <w:proofErr w:type="spellStart"/>
      <w:r>
        <w:rPr>
          <w:color w:val="000000"/>
        </w:rPr>
        <w:t>Dz.U</w:t>
      </w:r>
      <w:proofErr w:type="spellEnd"/>
      <w:r>
        <w:rPr>
          <w:color w:val="000000"/>
        </w:rPr>
        <w:t>. L 300 z 14.11.2009, s. 1).</w:t>
      </w:r>
    </w:p>
    <w:p w:rsidR="00DF1EB6" w:rsidRDefault="002F1DC5">
      <w:pPr>
        <w:spacing w:before="26" w:after="0"/>
        <w:ind w:left="373"/>
      </w:pPr>
      <w:r>
        <w:rPr>
          <w:color w:val="000000"/>
        </w:rPr>
        <w:t xml:space="preserve">3. </w:t>
      </w:r>
      <w:r>
        <w:rPr>
          <w:color w:val="1B1B1B"/>
        </w:rPr>
        <w:t>Rozporządzenie</w:t>
      </w:r>
      <w:r>
        <w:rPr>
          <w:color w:val="000000"/>
        </w:rPr>
        <w:t xml:space="preserve"> Parlamentu Europejskiego i Rady (UE) 2017/625 z dnia 15 marca 2017 r. w sprawie kontroli urzędowych </w:t>
      </w:r>
      <w:r>
        <w:rPr>
          <w:color w:val="000000"/>
        </w:rPr>
        <w:t xml:space="preserve">i innych czynności urzędowych przeprowadzanych w celu zapewnienia stosowania prawa żywnościowego i paszowego oraz zasad dotyczących zdrowia i dobrostanu zwierząt, zdrowia roślin i środków ochrony roślin, zmieniające rozporządzenia Parlamentu Europejskiego </w:t>
      </w:r>
      <w:r>
        <w:rPr>
          <w:color w:val="000000"/>
        </w:rPr>
        <w:t>i Rady (WE) nr 999/2001, (WE) nr 396/2005, (WE) nr 1069/2009, (WE) nr 1107/2009, (UE) nr 1151/2012, (UE) nr 652/2014, (UE) 2016/429 i (UE) 2016/2031, rozporządzenia Rady (WE) nr 1/2005 i (WE) nr 1099/2009 oraz dyrektywy Rady 98/58/WE, 1999/74/WE, 2007/43/W</w:t>
      </w:r>
      <w:r>
        <w:rPr>
          <w:color w:val="000000"/>
        </w:rPr>
        <w:t>E, 2008/119/WE i 2008/120/WE, oraz uchylające rozporządzenia Parlamentu Europejskiego i Rady (WE) nr 854/2004 i (WE) nr 882/2004, dyrektywy Rady 89/608/EWG, 89/662/EWG, 90/425/EWG, 91/496/EWG, 96/23/WE, 96/93/WE i 97/78/WE oraz decyzję Rady 92/438/EWG (roz</w:t>
      </w:r>
      <w:r>
        <w:rPr>
          <w:color w:val="000000"/>
        </w:rPr>
        <w:t>porządzenie w sprawie kontroli urzędowych) (</w:t>
      </w:r>
      <w:proofErr w:type="spellStart"/>
      <w:r>
        <w:rPr>
          <w:color w:val="000000"/>
        </w:rPr>
        <w:t>Dz.U</w:t>
      </w:r>
      <w:proofErr w:type="spellEnd"/>
      <w:r>
        <w:rPr>
          <w:color w:val="000000"/>
        </w:rPr>
        <w:t>. L 95 z 7.4.2017, s. 1).</w:t>
      </w:r>
    </w:p>
    <w:p w:rsidR="00DF1EB6" w:rsidRDefault="002F1DC5">
      <w:pPr>
        <w:spacing w:before="26" w:after="0"/>
        <w:ind w:left="373"/>
      </w:pPr>
      <w:r>
        <w:rPr>
          <w:color w:val="000000"/>
        </w:rPr>
        <w:t>4. Przepisy i normy dotyczące ochrony i dobrostanu zwierząt, ustanowione w następujących aktach prawnych:</w:t>
      </w:r>
    </w:p>
    <w:p w:rsidR="00DF1EB6" w:rsidRDefault="002F1DC5">
      <w:pPr>
        <w:spacing w:after="0"/>
        <w:ind w:left="373"/>
      </w:pPr>
      <w:r>
        <w:rPr>
          <w:color w:val="000000"/>
        </w:rPr>
        <w:t xml:space="preserve">(i) </w:t>
      </w:r>
      <w:r>
        <w:rPr>
          <w:color w:val="1B1B1B"/>
        </w:rPr>
        <w:t>dyrektywa</w:t>
      </w:r>
      <w:r>
        <w:rPr>
          <w:color w:val="000000"/>
        </w:rPr>
        <w:t xml:space="preserve"> Rady 98/58/WE z dnia 20 lipca 1998 r. dotycząca ochrony zwierz</w:t>
      </w:r>
      <w:r>
        <w:rPr>
          <w:color w:val="000000"/>
        </w:rPr>
        <w:t>ąt hodowlanych (</w:t>
      </w:r>
      <w:proofErr w:type="spellStart"/>
      <w:r>
        <w:rPr>
          <w:color w:val="000000"/>
        </w:rPr>
        <w:t>Dz.U</w:t>
      </w:r>
      <w:proofErr w:type="spellEnd"/>
      <w:r>
        <w:rPr>
          <w:color w:val="000000"/>
        </w:rPr>
        <w:t>. L 221 z 8.8.1998, s. 23);</w:t>
      </w:r>
    </w:p>
    <w:p w:rsidR="00DF1EB6" w:rsidRDefault="002F1DC5">
      <w:pPr>
        <w:spacing w:before="26" w:after="0"/>
        <w:ind w:left="746"/>
      </w:pPr>
      <w:r>
        <w:rPr>
          <w:color w:val="000000"/>
        </w:rPr>
        <w:t xml:space="preserve">(ii) </w:t>
      </w:r>
      <w:r>
        <w:rPr>
          <w:color w:val="1B1B1B"/>
        </w:rPr>
        <w:t>rozporządzenie</w:t>
      </w:r>
      <w:r>
        <w:rPr>
          <w:color w:val="000000"/>
        </w:rPr>
        <w:t xml:space="preserve"> Rady (WE) nr 1/2005 z dnia 22 grudnia 2004 r. w sprawie ochrony zwierząt podczas transportu i związanych z tym działań oraz zmieniające dyrektywy 64/432/EWG i 93/119/WE oraz rozporządzenie</w:t>
      </w:r>
      <w:r>
        <w:rPr>
          <w:color w:val="000000"/>
        </w:rPr>
        <w:t xml:space="preserve"> (WE) nr 1255/97 (</w:t>
      </w:r>
      <w:proofErr w:type="spellStart"/>
      <w:r>
        <w:rPr>
          <w:color w:val="000000"/>
        </w:rPr>
        <w:t>Dz.U</w:t>
      </w:r>
      <w:proofErr w:type="spellEnd"/>
      <w:r>
        <w:rPr>
          <w:color w:val="000000"/>
        </w:rPr>
        <w:t>. L 3 z 5.1.2005, s. 1);</w:t>
      </w:r>
    </w:p>
    <w:p w:rsidR="00DF1EB6" w:rsidRDefault="002F1DC5">
      <w:pPr>
        <w:spacing w:before="26" w:after="0"/>
        <w:ind w:left="746"/>
      </w:pPr>
      <w:r>
        <w:rPr>
          <w:color w:val="000000"/>
        </w:rPr>
        <w:t xml:space="preserve">(iii) </w:t>
      </w:r>
      <w:r>
        <w:rPr>
          <w:color w:val="1B1B1B"/>
        </w:rPr>
        <w:t>rozporządzenie</w:t>
      </w:r>
      <w:r>
        <w:rPr>
          <w:color w:val="000000"/>
        </w:rPr>
        <w:t xml:space="preserve"> Rady (WE) nr 1099/2009 z dnia 24 września 2009 r. w sprawie ochrony zwierząt podczas ich uśmiercania (</w:t>
      </w:r>
      <w:proofErr w:type="spellStart"/>
      <w:r>
        <w:rPr>
          <w:color w:val="000000"/>
        </w:rPr>
        <w:t>Dz.U</w:t>
      </w:r>
      <w:proofErr w:type="spellEnd"/>
      <w:r>
        <w:rPr>
          <w:color w:val="000000"/>
        </w:rPr>
        <w:t>. L 303 z 18.11.2009, s. 1);</w:t>
      </w:r>
    </w:p>
    <w:p w:rsidR="00DF1EB6" w:rsidRDefault="002F1DC5">
      <w:pPr>
        <w:spacing w:before="26" w:after="0"/>
        <w:ind w:left="746"/>
      </w:pPr>
      <w:r>
        <w:rPr>
          <w:color w:val="000000"/>
        </w:rPr>
        <w:t xml:space="preserve">(iv) </w:t>
      </w:r>
      <w:r>
        <w:rPr>
          <w:color w:val="1B1B1B"/>
        </w:rPr>
        <w:t>dyrektywa</w:t>
      </w:r>
      <w:r>
        <w:rPr>
          <w:color w:val="000000"/>
        </w:rPr>
        <w:t xml:space="preserve"> Rady 1999/22/WE z dnia 29 marca 1999 r</w:t>
      </w:r>
      <w:r>
        <w:rPr>
          <w:color w:val="000000"/>
        </w:rPr>
        <w:t>. dotycząca trzymania dzikich zwierząt w ogrodach zoologicznych (</w:t>
      </w:r>
      <w:proofErr w:type="spellStart"/>
      <w:r>
        <w:rPr>
          <w:color w:val="000000"/>
        </w:rPr>
        <w:t>Dz.U</w:t>
      </w:r>
      <w:proofErr w:type="spellEnd"/>
      <w:r>
        <w:rPr>
          <w:color w:val="000000"/>
        </w:rPr>
        <w:t>. L 94 z 9.4.1999, s. 24);</w:t>
      </w:r>
    </w:p>
    <w:p w:rsidR="00DF1EB6" w:rsidRDefault="002F1DC5">
      <w:pPr>
        <w:spacing w:before="26" w:after="0"/>
        <w:ind w:left="746"/>
      </w:pPr>
      <w:r>
        <w:rPr>
          <w:color w:val="000000"/>
        </w:rPr>
        <w:t xml:space="preserve">(v) </w:t>
      </w:r>
      <w:r>
        <w:rPr>
          <w:color w:val="1B1B1B"/>
        </w:rPr>
        <w:t>dyrektywa</w:t>
      </w:r>
      <w:r>
        <w:rPr>
          <w:color w:val="000000"/>
        </w:rPr>
        <w:t xml:space="preserve"> Parlamentu Europejskiego i Rady 2010/63/UE z dnia 22 września 2010 r. w sprawie ochrony zwierząt wykorzystywanych do celów naukowych (</w:t>
      </w:r>
      <w:proofErr w:type="spellStart"/>
      <w:r>
        <w:rPr>
          <w:color w:val="000000"/>
        </w:rPr>
        <w:t>Dz.U</w:t>
      </w:r>
      <w:proofErr w:type="spellEnd"/>
      <w:r>
        <w:rPr>
          <w:color w:val="000000"/>
        </w:rPr>
        <w:t xml:space="preserve">. L 276 </w:t>
      </w:r>
      <w:r>
        <w:rPr>
          <w:color w:val="000000"/>
        </w:rPr>
        <w:t>z 20.10.2010, s. 33).</w:t>
      </w:r>
    </w:p>
    <w:p w:rsidR="00DF1EB6" w:rsidRDefault="002F1DC5">
      <w:pPr>
        <w:spacing w:after="0"/>
        <w:ind w:left="746"/>
      </w:pPr>
      <w:r>
        <w:rPr>
          <w:color w:val="000000"/>
        </w:rPr>
        <w:t xml:space="preserve">H. Art. 2 ust. 1 lit. a) </w:t>
      </w:r>
      <w:proofErr w:type="spellStart"/>
      <w:r>
        <w:rPr>
          <w:color w:val="000000"/>
        </w:rPr>
        <w:t>ppkt</w:t>
      </w:r>
      <w:proofErr w:type="spellEnd"/>
      <w:r>
        <w:rPr>
          <w:color w:val="000000"/>
        </w:rPr>
        <w:t xml:space="preserve"> (viii) - zdrowie publiczne:</w:t>
      </w:r>
    </w:p>
    <w:p w:rsidR="00DF1EB6" w:rsidRDefault="002F1DC5">
      <w:pPr>
        <w:spacing w:before="26" w:after="0"/>
        <w:ind w:left="373"/>
      </w:pPr>
      <w:r>
        <w:rPr>
          <w:color w:val="000000"/>
        </w:rPr>
        <w:t>1. Środki ustanawiające wysokie standardy jakości i bezpieczeństwa organów i substancji pochodzenia ludzkiego, regulowane następującymi aktami prawnymi:</w:t>
      </w:r>
    </w:p>
    <w:p w:rsidR="00DF1EB6" w:rsidRDefault="002F1DC5">
      <w:pPr>
        <w:spacing w:after="0"/>
        <w:ind w:left="373"/>
      </w:pPr>
      <w:r>
        <w:rPr>
          <w:color w:val="000000"/>
        </w:rPr>
        <w:t xml:space="preserve">(i) </w:t>
      </w:r>
      <w:r>
        <w:rPr>
          <w:color w:val="1B1B1B"/>
        </w:rPr>
        <w:t>dyrektywa</w:t>
      </w:r>
      <w:r>
        <w:rPr>
          <w:color w:val="000000"/>
        </w:rPr>
        <w:t xml:space="preserve"> 2002/98/W</w:t>
      </w:r>
      <w:r>
        <w:rPr>
          <w:color w:val="000000"/>
        </w:rPr>
        <w:t xml:space="preserve">E Parlamentu Europejskiego i Rady z dnia 27 stycznia 2003 r. ustanawiająca normy jakości i bezpiecznego pobierania, badania, preparatyki, przechowywania, wydawania krwi ludzkiej i składników krwi oraz zmieniająca </w:t>
      </w:r>
      <w:r>
        <w:rPr>
          <w:color w:val="1B1B1B"/>
        </w:rPr>
        <w:t>dyrektywę</w:t>
      </w:r>
      <w:r>
        <w:rPr>
          <w:color w:val="000000"/>
        </w:rPr>
        <w:t xml:space="preserve"> 2001/83/WE (</w:t>
      </w:r>
      <w:proofErr w:type="spellStart"/>
      <w:r>
        <w:rPr>
          <w:color w:val="000000"/>
        </w:rPr>
        <w:t>Dz.U</w:t>
      </w:r>
      <w:proofErr w:type="spellEnd"/>
      <w:r>
        <w:rPr>
          <w:color w:val="000000"/>
        </w:rPr>
        <w:t>. L 33 z 8.2.2003</w:t>
      </w:r>
      <w:r>
        <w:rPr>
          <w:color w:val="000000"/>
        </w:rPr>
        <w:t>, s. 30);</w:t>
      </w:r>
    </w:p>
    <w:p w:rsidR="00DF1EB6" w:rsidRDefault="002F1DC5">
      <w:pPr>
        <w:spacing w:before="26" w:after="0"/>
        <w:ind w:left="746"/>
      </w:pPr>
      <w:r>
        <w:rPr>
          <w:color w:val="000000"/>
        </w:rPr>
        <w:lastRenderedPageBreak/>
        <w:t xml:space="preserve">(ii) </w:t>
      </w:r>
      <w:r>
        <w:rPr>
          <w:color w:val="1B1B1B"/>
        </w:rPr>
        <w:t>dyrektywa</w:t>
      </w:r>
      <w:r>
        <w:rPr>
          <w:color w:val="000000"/>
        </w:rPr>
        <w:t xml:space="preserve"> 2004/23/WE Parlamentu Europejskiego i Rady z dnia 31 marca 2004 r. w sprawie ustalenia norm jakości i bezpiecznego oddawania, pobierania, testowania, przetwarzania, konserwowania, przechowywania i dystrybucji tkanek i komórek ludzk</w:t>
      </w:r>
      <w:r>
        <w:rPr>
          <w:color w:val="000000"/>
        </w:rPr>
        <w:t>ich (</w:t>
      </w:r>
      <w:proofErr w:type="spellStart"/>
      <w:r>
        <w:rPr>
          <w:color w:val="000000"/>
        </w:rPr>
        <w:t>Dz.U</w:t>
      </w:r>
      <w:proofErr w:type="spellEnd"/>
      <w:r>
        <w:rPr>
          <w:color w:val="000000"/>
        </w:rPr>
        <w:t>. L 102 z 7.4.2004, s. 48);</w:t>
      </w:r>
    </w:p>
    <w:p w:rsidR="00DF1EB6" w:rsidRDefault="002F1DC5">
      <w:pPr>
        <w:spacing w:before="26" w:after="0"/>
        <w:ind w:left="746"/>
      </w:pPr>
      <w:r>
        <w:rPr>
          <w:color w:val="000000"/>
        </w:rPr>
        <w:t xml:space="preserve">(iii) </w:t>
      </w:r>
      <w:r>
        <w:rPr>
          <w:color w:val="1B1B1B"/>
        </w:rPr>
        <w:t>dyrektywa</w:t>
      </w:r>
      <w:r>
        <w:rPr>
          <w:color w:val="000000"/>
        </w:rPr>
        <w:t xml:space="preserve"> Parlamentu Europejskiego i Rady 2010/53/UE z dnia 7 lipca 2010 r. w sprawie norm jakości i bezpieczeństwa narządów ludzkich przeznaczonych do przeszczepienia (</w:t>
      </w:r>
      <w:proofErr w:type="spellStart"/>
      <w:r>
        <w:rPr>
          <w:color w:val="000000"/>
        </w:rPr>
        <w:t>Dz.U</w:t>
      </w:r>
      <w:proofErr w:type="spellEnd"/>
      <w:r>
        <w:rPr>
          <w:color w:val="000000"/>
        </w:rPr>
        <w:t>. L 207 z 6.8.2010, s. 14).</w:t>
      </w:r>
    </w:p>
    <w:p w:rsidR="00DF1EB6" w:rsidRDefault="002F1DC5">
      <w:pPr>
        <w:spacing w:before="26" w:after="0"/>
        <w:ind w:left="373"/>
      </w:pPr>
      <w:r>
        <w:rPr>
          <w:color w:val="000000"/>
        </w:rPr>
        <w:t xml:space="preserve">2. Środki </w:t>
      </w:r>
      <w:r>
        <w:rPr>
          <w:color w:val="000000"/>
        </w:rPr>
        <w:t>ustanawiające wysokie standardy jakości i bezpieczeństwa produktów leczniczych i wyrobów medycznych, regulowane następującymi aktami prawnymi:</w:t>
      </w:r>
    </w:p>
    <w:p w:rsidR="00DF1EB6" w:rsidRDefault="002F1DC5">
      <w:pPr>
        <w:spacing w:after="0"/>
        <w:ind w:left="373"/>
      </w:pPr>
      <w:r>
        <w:rPr>
          <w:color w:val="000000"/>
        </w:rPr>
        <w:t xml:space="preserve">(i) </w:t>
      </w:r>
      <w:r>
        <w:rPr>
          <w:color w:val="1B1B1B"/>
        </w:rPr>
        <w:t>rozporządzenie</w:t>
      </w:r>
      <w:r>
        <w:rPr>
          <w:color w:val="000000"/>
        </w:rPr>
        <w:t xml:space="preserve"> (WE) nr 141/2000 Parlamentu Europejskiego i Rady z dnia 16 grudnia 1999 r. w sprawie sierocych</w:t>
      </w:r>
      <w:r>
        <w:rPr>
          <w:color w:val="000000"/>
        </w:rPr>
        <w:t xml:space="preserve"> produktów leczniczych (</w:t>
      </w:r>
      <w:proofErr w:type="spellStart"/>
      <w:r>
        <w:rPr>
          <w:color w:val="000000"/>
        </w:rPr>
        <w:t>Dz.U</w:t>
      </w:r>
      <w:proofErr w:type="spellEnd"/>
      <w:r>
        <w:rPr>
          <w:color w:val="000000"/>
        </w:rPr>
        <w:t>. L 18 z 22.1.2000, s. 1);</w:t>
      </w:r>
    </w:p>
    <w:p w:rsidR="00DF1EB6" w:rsidRDefault="002F1DC5">
      <w:pPr>
        <w:spacing w:before="26" w:after="0"/>
        <w:ind w:left="746"/>
      </w:pPr>
      <w:r>
        <w:rPr>
          <w:color w:val="000000"/>
        </w:rPr>
        <w:t xml:space="preserve">(ii) </w:t>
      </w:r>
      <w:r>
        <w:rPr>
          <w:color w:val="1B1B1B"/>
        </w:rPr>
        <w:t>dyrektywa</w:t>
      </w:r>
      <w:r>
        <w:rPr>
          <w:color w:val="000000"/>
        </w:rPr>
        <w:t xml:space="preserve"> 2001/83/WE Parlamentu Europejskiego i Rady z dnia 6 listopada 2001 r. w sprawie wspólnotowego kodeksu odnoszącego się do produktów leczniczych stosowanych u ludzi (</w:t>
      </w:r>
      <w:proofErr w:type="spellStart"/>
      <w:r>
        <w:rPr>
          <w:color w:val="000000"/>
        </w:rPr>
        <w:t>Dz.U</w:t>
      </w:r>
      <w:proofErr w:type="spellEnd"/>
      <w:r>
        <w:rPr>
          <w:color w:val="000000"/>
        </w:rPr>
        <w:t>. L 311 z 28.11.20</w:t>
      </w:r>
      <w:r>
        <w:rPr>
          <w:color w:val="000000"/>
        </w:rPr>
        <w:t>01, s. 67);</w:t>
      </w:r>
    </w:p>
    <w:p w:rsidR="00DF1EB6" w:rsidRDefault="002F1DC5">
      <w:pPr>
        <w:spacing w:before="26" w:after="0"/>
        <w:ind w:left="746"/>
      </w:pPr>
      <w:r>
        <w:rPr>
          <w:color w:val="000000"/>
        </w:rPr>
        <w:t xml:space="preserve">(iii) </w:t>
      </w:r>
      <w:r>
        <w:rPr>
          <w:color w:val="1B1B1B"/>
        </w:rPr>
        <w:t>rozporządzenie</w:t>
      </w:r>
      <w:r>
        <w:rPr>
          <w:color w:val="000000"/>
        </w:rPr>
        <w:t xml:space="preserve"> Parlamentu Europejskiego i Rady (UE) 2019/6 z dnia 11 grudnia 2018 r. w sprawie weterynaryjnych produktów leczniczych i uchylające dyrektywę 2001/82/WE (</w:t>
      </w:r>
      <w:proofErr w:type="spellStart"/>
      <w:r>
        <w:rPr>
          <w:color w:val="000000"/>
        </w:rPr>
        <w:t>Dz.U</w:t>
      </w:r>
      <w:proofErr w:type="spellEnd"/>
      <w:r>
        <w:rPr>
          <w:color w:val="000000"/>
        </w:rPr>
        <w:t>. L 4 z 7.1.2019, s. 43);</w:t>
      </w:r>
    </w:p>
    <w:p w:rsidR="00DF1EB6" w:rsidRDefault="002F1DC5">
      <w:pPr>
        <w:spacing w:before="26" w:after="0"/>
        <w:ind w:left="746"/>
      </w:pPr>
      <w:r>
        <w:rPr>
          <w:color w:val="000000"/>
        </w:rPr>
        <w:t xml:space="preserve">(iv) </w:t>
      </w:r>
      <w:r>
        <w:rPr>
          <w:color w:val="1B1B1B"/>
        </w:rPr>
        <w:t>rozporządzenie</w:t>
      </w:r>
      <w:r>
        <w:rPr>
          <w:color w:val="000000"/>
        </w:rPr>
        <w:t xml:space="preserve"> (WE) nr 726/2004 Parlamentu Europejskiego i Rady z dnia 31 marca 2004 r. ustanawiające wspólnotowe procedury wydawania pozwoleń dla produktów leczniczych stosowanych u ludzi i do celów weterynaryjnych i nadzoru nad nimi oraz ustanawiające Europejską Agenc</w:t>
      </w:r>
      <w:r>
        <w:rPr>
          <w:color w:val="000000"/>
        </w:rPr>
        <w:t>ję Leków (</w:t>
      </w:r>
      <w:proofErr w:type="spellStart"/>
      <w:r>
        <w:rPr>
          <w:color w:val="000000"/>
        </w:rPr>
        <w:t>Dz.U</w:t>
      </w:r>
      <w:proofErr w:type="spellEnd"/>
      <w:r>
        <w:rPr>
          <w:color w:val="000000"/>
        </w:rPr>
        <w:t>. L 136 z 30.4.2004, s. 1);</w:t>
      </w:r>
    </w:p>
    <w:p w:rsidR="00DF1EB6" w:rsidRDefault="002F1DC5">
      <w:pPr>
        <w:spacing w:before="26" w:after="0"/>
        <w:ind w:left="746"/>
      </w:pPr>
      <w:r>
        <w:rPr>
          <w:color w:val="000000"/>
        </w:rPr>
        <w:t xml:space="preserve">(v) </w:t>
      </w:r>
      <w:r>
        <w:rPr>
          <w:color w:val="1B1B1B"/>
        </w:rPr>
        <w:t>rozporządzenie</w:t>
      </w:r>
      <w:r>
        <w:rPr>
          <w:color w:val="000000"/>
        </w:rPr>
        <w:t xml:space="preserve"> (WE) nr 1901/2006 Parlamentu Europejskiego i Rady z dnia 12 grudnia 2006 r. w sprawie produktów leczniczych stosowanych w pediatrii oraz zmieniające rozporządzenie (EWG) nr 1768/92, dyrektywę 200</w:t>
      </w:r>
      <w:r>
        <w:rPr>
          <w:color w:val="000000"/>
        </w:rPr>
        <w:t>1/20/WE, dyrektywę 2001/83/WE i rozporządzenie (WE) nr 726/2004 (</w:t>
      </w:r>
      <w:proofErr w:type="spellStart"/>
      <w:r>
        <w:rPr>
          <w:color w:val="000000"/>
        </w:rPr>
        <w:t>Dz.U</w:t>
      </w:r>
      <w:proofErr w:type="spellEnd"/>
      <w:r>
        <w:rPr>
          <w:color w:val="000000"/>
        </w:rPr>
        <w:t>. L 378 z 27.12.2006, s. 1);</w:t>
      </w:r>
    </w:p>
    <w:p w:rsidR="00DF1EB6" w:rsidRDefault="002F1DC5">
      <w:pPr>
        <w:spacing w:before="26" w:after="0"/>
        <w:ind w:left="746"/>
      </w:pPr>
      <w:r>
        <w:rPr>
          <w:color w:val="000000"/>
        </w:rPr>
        <w:t xml:space="preserve">(vi) </w:t>
      </w:r>
      <w:r>
        <w:rPr>
          <w:color w:val="1B1B1B"/>
        </w:rPr>
        <w:t>rozporządzenie</w:t>
      </w:r>
      <w:r>
        <w:rPr>
          <w:color w:val="000000"/>
        </w:rPr>
        <w:t xml:space="preserve"> (WE) nr 1394/2007 Parlamentu Europejskiego i Rady z dnia 13 listopada 2007 r. w sprawie produktów leczniczych terapii zaawansowanej i zmie</w:t>
      </w:r>
      <w:r>
        <w:rPr>
          <w:color w:val="000000"/>
        </w:rPr>
        <w:t>niające dyrektywę 2001/83/WE oraz rozporządzenie (WE) nr 726/2004 (</w:t>
      </w:r>
      <w:proofErr w:type="spellStart"/>
      <w:r>
        <w:rPr>
          <w:color w:val="000000"/>
        </w:rPr>
        <w:t>Dz.U</w:t>
      </w:r>
      <w:proofErr w:type="spellEnd"/>
      <w:r>
        <w:rPr>
          <w:color w:val="000000"/>
        </w:rPr>
        <w:t>. L 324 z 10.12.2007, s. 121);</w:t>
      </w:r>
    </w:p>
    <w:p w:rsidR="00DF1EB6" w:rsidRDefault="002F1DC5">
      <w:pPr>
        <w:spacing w:before="26" w:after="0"/>
        <w:ind w:left="746"/>
      </w:pPr>
      <w:r>
        <w:rPr>
          <w:color w:val="000000"/>
        </w:rPr>
        <w:t xml:space="preserve">(vii) </w:t>
      </w:r>
      <w:r>
        <w:rPr>
          <w:color w:val="1B1B1B"/>
        </w:rPr>
        <w:t>rozporządzenie</w:t>
      </w:r>
      <w:r>
        <w:rPr>
          <w:color w:val="000000"/>
        </w:rPr>
        <w:t xml:space="preserve"> Parlamentu Europejskiego i Rady (UE) nr 536/2014 z dnia 16 kwietnia 2014 r. w sprawie badań klinicznych produktów leczniczych stosowa</w:t>
      </w:r>
      <w:r>
        <w:rPr>
          <w:color w:val="000000"/>
        </w:rPr>
        <w:t>nych u ludzi oraz uchylenia dyrektywy 2001/20/WE (</w:t>
      </w:r>
      <w:proofErr w:type="spellStart"/>
      <w:r>
        <w:rPr>
          <w:color w:val="000000"/>
        </w:rPr>
        <w:t>Dz.U</w:t>
      </w:r>
      <w:proofErr w:type="spellEnd"/>
      <w:r>
        <w:rPr>
          <w:color w:val="000000"/>
        </w:rPr>
        <w:t>. L 158 z 27.5.2014, s. 1).</w:t>
      </w:r>
    </w:p>
    <w:p w:rsidR="00DF1EB6" w:rsidRDefault="002F1DC5">
      <w:pPr>
        <w:spacing w:before="26" w:after="0"/>
        <w:ind w:left="373"/>
      </w:pPr>
      <w:r>
        <w:rPr>
          <w:color w:val="000000"/>
        </w:rPr>
        <w:t xml:space="preserve">3. Prawa pacjentów, regulowane </w:t>
      </w:r>
      <w:r>
        <w:rPr>
          <w:color w:val="1B1B1B"/>
        </w:rPr>
        <w:t>dyrektywą</w:t>
      </w:r>
      <w:r>
        <w:rPr>
          <w:color w:val="000000"/>
        </w:rPr>
        <w:t xml:space="preserve"> Parlamentu Europejskiego i Rady 2011/24/UE z dnia 9 marca 2011 r. w sprawie stosowania praw pacjentów w </w:t>
      </w:r>
      <w:proofErr w:type="spellStart"/>
      <w:r>
        <w:rPr>
          <w:color w:val="000000"/>
        </w:rPr>
        <w:t>transgranicznej</w:t>
      </w:r>
      <w:proofErr w:type="spellEnd"/>
      <w:r>
        <w:rPr>
          <w:color w:val="000000"/>
        </w:rPr>
        <w:t xml:space="preserve"> opiece zdrowo</w:t>
      </w:r>
      <w:r>
        <w:rPr>
          <w:color w:val="000000"/>
        </w:rPr>
        <w:t>tnej (</w:t>
      </w:r>
      <w:proofErr w:type="spellStart"/>
      <w:r>
        <w:rPr>
          <w:color w:val="000000"/>
        </w:rPr>
        <w:t>Dz.U</w:t>
      </w:r>
      <w:proofErr w:type="spellEnd"/>
      <w:r>
        <w:rPr>
          <w:color w:val="000000"/>
        </w:rPr>
        <w:t>. L 88 z 4.4.2011, s. 45).</w:t>
      </w:r>
    </w:p>
    <w:p w:rsidR="00DF1EB6" w:rsidRDefault="002F1DC5">
      <w:pPr>
        <w:spacing w:before="26" w:after="0"/>
        <w:ind w:left="373"/>
      </w:pPr>
      <w:r>
        <w:rPr>
          <w:color w:val="000000"/>
        </w:rPr>
        <w:t xml:space="preserve">4. Produkcja, prezentowanie i sprzedaż wyrobów tytoniowych i powiązanych wyrobów, regulowane </w:t>
      </w:r>
      <w:r>
        <w:rPr>
          <w:color w:val="1B1B1B"/>
        </w:rPr>
        <w:t>dyrektywą</w:t>
      </w:r>
      <w:r>
        <w:rPr>
          <w:color w:val="000000"/>
        </w:rPr>
        <w:t xml:space="preserve"> Parlamentu Europejskiego i Rady 2014/40/UE z dnia 3 kwietnia 2014 r. w sprawie zbliżenia przepisów ustawowych, wykon</w:t>
      </w:r>
      <w:r>
        <w:rPr>
          <w:color w:val="000000"/>
        </w:rPr>
        <w:t>awczych i administracyjnych państw członkowskich w sprawie produkcji, prezentowania i sprzedaży wyrobów tytoniowych i powiązanych wyrobów oraz uchylającą dyrektywę 2001/37/WE (</w:t>
      </w:r>
      <w:proofErr w:type="spellStart"/>
      <w:r>
        <w:rPr>
          <w:color w:val="000000"/>
        </w:rPr>
        <w:t>Dz.U</w:t>
      </w:r>
      <w:proofErr w:type="spellEnd"/>
      <w:r>
        <w:rPr>
          <w:color w:val="000000"/>
        </w:rPr>
        <w:t>. L 127 z 29.4.2014, s. 1).</w:t>
      </w:r>
    </w:p>
    <w:p w:rsidR="00DF1EB6" w:rsidRDefault="002F1DC5">
      <w:pPr>
        <w:spacing w:after="0"/>
        <w:ind w:left="373"/>
      </w:pPr>
      <w:r>
        <w:rPr>
          <w:color w:val="000000"/>
        </w:rPr>
        <w:t xml:space="preserve">I. Art. 2 ust. 1 lit. a) </w:t>
      </w:r>
      <w:proofErr w:type="spellStart"/>
      <w:r>
        <w:rPr>
          <w:color w:val="000000"/>
        </w:rPr>
        <w:t>ppkt</w:t>
      </w:r>
      <w:proofErr w:type="spellEnd"/>
      <w:r>
        <w:rPr>
          <w:color w:val="000000"/>
        </w:rPr>
        <w:t xml:space="preserve"> (ix) - ochrona kon</w:t>
      </w:r>
      <w:r>
        <w:rPr>
          <w:color w:val="000000"/>
        </w:rPr>
        <w:t>sumentów:</w:t>
      </w:r>
    </w:p>
    <w:p w:rsidR="00DF1EB6" w:rsidRDefault="002F1DC5">
      <w:pPr>
        <w:spacing w:before="25" w:after="0"/>
        <w:ind w:left="373"/>
        <w:jc w:val="both"/>
      </w:pPr>
      <w:r>
        <w:rPr>
          <w:color w:val="000000"/>
        </w:rPr>
        <w:lastRenderedPageBreak/>
        <w:t>Prawa konsumentów i ochrona konsumentów, regulowane następującymi aktami prawnymi:</w:t>
      </w:r>
    </w:p>
    <w:p w:rsidR="00DF1EB6" w:rsidRDefault="002F1DC5">
      <w:pPr>
        <w:spacing w:after="0"/>
        <w:ind w:left="373"/>
      </w:pPr>
      <w:r>
        <w:rPr>
          <w:color w:val="000000"/>
        </w:rPr>
        <w:t xml:space="preserve">(i) </w:t>
      </w:r>
      <w:r>
        <w:rPr>
          <w:color w:val="1B1B1B"/>
        </w:rPr>
        <w:t>dyrektywa</w:t>
      </w:r>
      <w:r>
        <w:rPr>
          <w:color w:val="000000"/>
        </w:rPr>
        <w:t xml:space="preserve"> 98/6/WE Parlamentu Europejskiego i Rady z dnia 16 lutego 1998 r. w sprawie ochrony konsumenta przez podawanie cen produktów oferowanych konsumentom (</w:t>
      </w:r>
      <w:proofErr w:type="spellStart"/>
      <w:r>
        <w:rPr>
          <w:color w:val="000000"/>
        </w:rPr>
        <w:t>Dz.U</w:t>
      </w:r>
      <w:proofErr w:type="spellEnd"/>
      <w:r>
        <w:rPr>
          <w:color w:val="000000"/>
        </w:rPr>
        <w:t>. L 80 z 18.3.1998, s. 27);</w:t>
      </w:r>
    </w:p>
    <w:p w:rsidR="00DF1EB6" w:rsidRDefault="002F1DC5">
      <w:pPr>
        <w:spacing w:before="26" w:after="0"/>
        <w:ind w:left="746"/>
      </w:pPr>
      <w:r>
        <w:rPr>
          <w:color w:val="000000"/>
        </w:rPr>
        <w:t xml:space="preserve">(ii) </w:t>
      </w:r>
      <w:r>
        <w:rPr>
          <w:color w:val="1B1B1B"/>
        </w:rPr>
        <w:t>dyrektywa</w:t>
      </w:r>
      <w:r>
        <w:rPr>
          <w:color w:val="000000"/>
        </w:rPr>
        <w:t xml:space="preserve"> Parlamentu Europejskiego i Rady (UE) 2019/770 z dnia 20 maja 2019 r. w sprawie niektórych aspektów umów o dostarczanie treści cyfrowych i usług cyfrowych (</w:t>
      </w:r>
      <w:proofErr w:type="spellStart"/>
      <w:r>
        <w:rPr>
          <w:color w:val="000000"/>
        </w:rPr>
        <w:t>Dz.U</w:t>
      </w:r>
      <w:proofErr w:type="spellEnd"/>
      <w:r>
        <w:rPr>
          <w:color w:val="000000"/>
        </w:rPr>
        <w:t>. L 136 z 22.5.2019, s. 1);</w:t>
      </w:r>
    </w:p>
    <w:p w:rsidR="00DF1EB6" w:rsidRDefault="002F1DC5">
      <w:pPr>
        <w:spacing w:before="26" w:after="0"/>
        <w:ind w:left="746"/>
      </w:pPr>
      <w:r>
        <w:rPr>
          <w:color w:val="000000"/>
        </w:rPr>
        <w:t xml:space="preserve">(iii) </w:t>
      </w:r>
      <w:r>
        <w:rPr>
          <w:color w:val="1B1B1B"/>
        </w:rPr>
        <w:t>dyrektywa</w:t>
      </w:r>
      <w:r>
        <w:rPr>
          <w:color w:val="000000"/>
        </w:rPr>
        <w:t xml:space="preserve"> Parlam</w:t>
      </w:r>
      <w:r>
        <w:rPr>
          <w:color w:val="000000"/>
        </w:rPr>
        <w:t>entu Europejskiego i Rady (UE) 2019/771 z dnia 20 maja 2019 r. w sprawie niektórych aspektów umów sprzedaży towarów, zmieniająca rozporządzenie (UE) 2017/2394 oraz dyrektywę 2009/22/WE i uchylająca dyrektywę 1999/44/WE (</w:t>
      </w:r>
      <w:proofErr w:type="spellStart"/>
      <w:r>
        <w:rPr>
          <w:color w:val="000000"/>
        </w:rPr>
        <w:t>Dz.U</w:t>
      </w:r>
      <w:proofErr w:type="spellEnd"/>
      <w:r>
        <w:rPr>
          <w:color w:val="000000"/>
        </w:rPr>
        <w:t>. L 136 z 22.5.2019, s. 28).</w:t>
      </w:r>
    </w:p>
    <w:p w:rsidR="00DF1EB6" w:rsidRDefault="002F1DC5">
      <w:pPr>
        <w:spacing w:before="26" w:after="0"/>
        <w:ind w:left="746"/>
      </w:pPr>
      <w:r>
        <w:rPr>
          <w:color w:val="000000"/>
        </w:rPr>
        <w:t>(iv</w:t>
      </w:r>
      <w:r>
        <w:rPr>
          <w:color w:val="000000"/>
        </w:rPr>
        <w:t xml:space="preserve">) </w:t>
      </w:r>
      <w:r>
        <w:rPr>
          <w:color w:val="1B1B1B"/>
        </w:rPr>
        <w:t>dyrektywa</w:t>
      </w:r>
      <w:r>
        <w:rPr>
          <w:color w:val="000000"/>
        </w:rPr>
        <w:t xml:space="preserve"> 1999/44/WE Parlamentu Europejskiego i Rady z dnia 25 maja 1999 r. w sprawie niektórych aspektów sprzedaży towarów konsumpcyjnych i związanych z tym gwarancji (</w:t>
      </w:r>
      <w:proofErr w:type="spellStart"/>
      <w:r>
        <w:rPr>
          <w:color w:val="000000"/>
        </w:rPr>
        <w:t>Dz.U</w:t>
      </w:r>
      <w:proofErr w:type="spellEnd"/>
      <w:r>
        <w:rPr>
          <w:color w:val="000000"/>
        </w:rPr>
        <w:t>. L 171 z 7.7.1999, s. 12);</w:t>
      </w:r>
    </w:p>
    <w:p w:rsidR="00DF1EB6" w:rsidRDefault="002F1DC5">
      <w:pPr>
        <w:spacing w:before="26" w:after="0"/>
        <w:ind w:left="746"/>
      </w:pPr>
      <w:r>
        <w:rPr>
          <w:color w:val="000000"/>
        </w:rPr>
        <w:t xml:space="preserve">(v) </w:t>
      </w:r>
      <w:r>
        <w:rPr>
          <w:color w:val="1B1B1B"/>
        </w:rPr>
        <w:t>dyrektywa</w:t>
      </w:r>
      <w:r>
        <w:rPr>
          <w:color w:val="000000"/>
        </w:rPr>
        <w:t xml:space="preserve"> 2002/65/WE Parlamentu Europejskiego i R</w:t>
      </w:r>
      <w:r>
        <w:rPr>
          <w:color w:val="000000"/>
        </w:rPr>
        <w:t>ady z dnia 23 września 2002 r. dotycząca sprzedaży konsumentom usług finansowych na odległość oraz zmieniająca dyrektywę Rady 90/619/EWG oraz dyrektywy 97/7/WE i 98/27/WE (</w:t>
      </w:r>
      <w:proofErr w:type="spellStart"/>
      <w:r>
        <w:rPr>
          <w:color w:val="000000"/>
        </w:rPr>
        <w:t>Dz.U</w:t>
      </w:r>
      <w:proofErr w:type="spellEnd"/>
      <w:r>
        <w:rPr>
          <w:color w:val="000000"/>
        </w:rPr>
        <w:t>. L 271 z 9.10.2002, s. 16);</w:t>
      </w:r>
    </w:p>
    <w:p w:rsidR="00DF1EB6" w:rsidRDefault="002F1DC5">
      <w:pPr>
        <w:spacing w:before="26" w:after="0"/>
        <w:ind w:left="746"/>
      </w:pPr>
      <w:r>
        <w:rPr>
          <w:color w:val="000000"/>
        </w:rPr>
        <w:t xml:space="preserve">(vi) </w:t>
      </w:r>
      <w:r>
        <w:rPr>
          <w:color w:val="1B1B1B"/>
        </w:rPr>
        <w:t>dyrektywa</w:t>
      </w:r>
      <w:r>
        <w:rPr>
          <w:color w:val="000000"/>
        </w:rPr>
        <w:t xml:space="preserve"> 2005/29/WE Parlamentu Europejskiego </w:t>
      </w:r>
      <w:r>
        <w:rPr>
          <w:color w:val="000000"/>
        </w:rPr>
        <w:t xml:space="preserve">i Rady z dnia 11 maja 2005 r. dotycząca nieuczciwych praktyk handlowych stosowanych przez przedsiębiorstwa wobec konsumentów na rynku wewnętrznym oraz zmieniająca dyrektywę Rady 84/450/EWG, dyrektywy 97/7/WE, 98/27/WE i 2002/65/WE Parlamentu Europejskiego </w:t>
      </w:r>
      <w:r>
        <w:rPr>
          <w:color w:val="000000"/>
        </w:rPr>
        <w:t>i Rady oraz rozporządzenie (WE) nr 2006/2004 Parlamentu Europejskiego i Rady ("Dyrektywa o nieuczciwych praktykach handlowych") (</w:t>
      </w:r>
      <w:proofErr w:type="spellStart"/>
      <w:r>
        <w:rPr>
          <w:color w:val="000000"/>
        </w:rPr>
        <w:t>Dz.U</w:t>
      </w:r>
      <w:proofErr w:type="spellEnd"/>
      <w:r>
        <w:rPr>
          <w:color w:val="000000"/>
        </w:rPr>
        <w:t>. L 149 z 11.6.2005, s. 22);</w:t>
      </w:r>
    </w:p>
    <w:p w:rsidR="00DF1EB6" w:rsidRDefault="002F1DC5">
      <w:pPr>
        <w:spacing w:before="26" w:after="0"/>
        <w:ind w:left="746"/>
      </w:pPr>
      <w:r>
        <w:rPr>
          <w:color w:val="000000"/>
        </w:rPr>
        <w:t xml:space="preserve">(vii) </w:t>
      </w:r>
      <w:r>
        <w:rPr>
          <w:color w:val="1B1B1B"/>
        </w:rPr>
        <w:t>dyrektywa</w:t>
      </w:r>
      <w:r>
        <w:rPr>
          <w:color w:val="000000"/>
        </w:rPr>
        <w:t xml:space="preserve"> Parlamentu Europejskiego i Rady 2008/48/WE z dnia 23 kwietnia 2008 r. w sprawi</w:t>
      </w:r>
      <w:r>
        <w:rPr>
          <w:color w:val="000000"/>
        </w:rPr>
        <w:t>e umów o kredyt konsumencki oraz uchylająca dyrektywę Rady 87/102/EWG (</w:t>
      </w:r>
      <w:proofErr w:type="spellStart"/>
      <w:r>
        <w:rPr>
          <w:color w:val="000000"/>
        </w:rPr>
        <w:t>Dz.U</w:t>
      </w:r>
      <w:proofErr w:type="spellEnd"/>
      <w:r>
        <w:rPr>
          <w:color w:val="000000"/>
        </w:rPr>
        <w:t>. L 133 z 22.5.2008, s. 66);</w:t>
      </w:r>
    </w:p>
    <w:p w:rsidR="00DF1EB6" w:rsidRDefault="002F1DC5">
      <w:pPr>
        <w:spacing w:before="26" w:after="0"/>
        <w:ind w:left="746"/>
      </w:pPr>
      <w:r>
        <w:rPr>
          <w:color w:val="000000"/>
        </w:rPr>
        <w:t xml:space="preserve">(viii) </w:t>
      </w:r>
      <w:r>
        <w:rPr>
          <w:color w:val="1B1B1B"/>
        </w:rPr>
        <w:t>dyrektywa</w:t>
      </w:r>
      <w:r>
        <w:rPr>
          <w:color w:val="000000"/>
        </w:rPr>
        <w:t xml:space="preserve"> Parlamentu Europejskiego i Rady 2011/83/UE z dnia 25 października 2011 r. w sprawie praw konsumentów, zmieniająca dyrektywę Rady 93/13/</w:t>
      </w:r>
      <w:r>
        <w:rPr>
          <w:color w:val="000000"/>
        </w:rPr>
        <w:t>EWG i dyrektywę 1999/44/WE Parlamentu Europejskiego i Rady oraz uchylająca dyrektywę Rady 85/577/EWG i dyrektywę 97/7/WE Parlamentu Europejskiego i Rady (</w:t>
      </w:r>
      <w:proofErr w:type="spellStart"/>
      <w:r>
        <w:rPr>
          <w:color w:val="000000"/>
        </w:rPr>
        <w:t>Dz.U</w:t>
      </w:r>
      <w:proofErr w:type="spellEnd"/>
      <w:r>
        <w:rPr>
          <w:color w:val="000000"/>
        </w:rPr>
        <w:t>. L 304 z 22.11.2011, s. 64);</w:t>
      </w:r>
    </w:p>
    <w:p w:rsidR="00DF1EB6" w:rsidRDefault="002F1DC5">
      <w:pPr>
        <w:spacing w:before="26" w:after="0"/>
        <w:ind w:left="746"/>
      </w:pPr>
      <w:r>
        <w:rPr>
          <w:color w:val="000000"/>
        </w:rPr>
        <w:t xml:space="preserve">(ix) </w:t>
      </w:r>
      <w:r>
        <w:rPr>
          <w:color w:val="1B1B1B"/>
        </w:rPr>
        <w:t>dyrektywa</w:t>
      </w:r>
      <w:r>
        <w:rPr>
          <w:color w:val="000000"/>
        </w:rPr>
        <w:t xml:space="preserve"> Parlamentu Europejskiego i Rady 2014/92/UE z dnia 23 </w:t>
      </w:r>
      <w:r>
        <w:rPr>
          <w:color w:val="000000"/>
        </w:rPr>
        <w:t>lipca 2014 r. w sprawie porównywalności opłat związanych z rachunkami płatniczymi, przenoszenia rachunku płatniczego oraz dostępu do podstawowego rachunku płatniczego (</w:t>
      </w:r>
      <w:proofErr w:type="spellStart"/>
      <w:r>
        <w:rPr>
          <w:color w:val="000000"/>
        </w:rPr>
        <w:t>Dz.U</w:t>
      </w:r>
      <w:proofErr w:type="spellEnd"/>
      <w:r>
        <w:rPr>
          <w:color w:val="000000"/>
        </w:rPr>
        <w:t>. L 257 z 28.8.2014, s. 214).</w:t>
      </w:r>
    </w:p>
    <w:p w:rsidR="00DF1EB6" w:rsidRDefault="002F1DC5">
      <w:pPr>
        <w:spacing w:after="0"/>
        <w:ind w:left="746"/>
      </w:pPr>
      <w:r>
        <w:rPr>
          <w:color w:val="000000"/>
        </w:rPr>
        <w:t xml:space="preserve">J. Art. 2 ust. 1 lit. a) </w:t>
      </w:r>
      <w:proofErr w:type="spellStart"/>
      <w:r>
        <w:rPr>
          <w:color w:val="000000"/>
        </w:rPr>
        <w:t>ppkt</w:t>
      </w:r>
      <w:proofErr w:type="spellEnd"/>
      <w:r>
        <w:rPr>
          <w:color w:val="000000"/>
        </w:rPr>
        <w:t xml:space="preserve"> (x) - ochrona prywatnośc</w:t>
      </w:r>
      <w:r>
        <w:rPr>
          <w:color w:val="000000"/>
        </w:rPr>
        <w:t>i i danych osobowych oraz bezpieczeństwo sieci i systemów informatycznych:</w:t>
      </w:r>
    </w:p>
    <w:p w:rsidR="00DF1EB6" w:rsidRDefault="002F1DC5">
      <w:pPr>
        <w:spacing w:after="0"/>
        <w:ind w:left="746"/>
      </w:pPr>
      <w:r>
        <w:rPr>
          <w:color w:val="000000"/>
        </w:rPr>
        <w:t xml:space="preserve">(i) </w:t>
      </w:r>
      <w:r>
        <w:rPr>
          <w:color w:val="1B1B1B"/>
        </w:rPr>
        <w:t>dyrektywa</w:t>
      </w:r>
      <w:r>
        <w:rPr>
          <w:color w:val="000000"/>
        </w:rPr>
        <w:t xml:space="preserve"> 2002/58/WE Parlamentu Europejskiego i Rady z dnia 12 lipca 2002 r. dotycząca przetwarzania danych osobowych i ochrony prywatności w sektorze </w:t>
      </w:r>
      <w:r>
        <w:rPr>
          <w:color w:val="000000"/>
        </w:rPr>
        <w:lastRenderedPageBreak/>
        <w:t>łączności elektronicznej (</w:t>
      </w:r>
      <w:r>
        <w:rPr>
          <w:color w:val="000000"/>
        </w:rPr>
        <w:t>dyrektywa o prywatności i łączności elektronicznej) (</w:t>
      </w:r>
      <w:proofErr w:type="spellStart"/>
      <w:r>
        <w:rPr>
          <w:color w:val="000000"/>
        </w:rPr>
        <w:t>Dz.U</w:t>
      </w:r>
      <w:proofErr w:type="spellEnd"/>
      <w:r>
        <w:rPr>
          <w:color w:val="000000"/>
        </w:rPr>
        <w:t>. L 201 z 31.7.2002, s. 37);</w:t>
      </w:r>
    </w:p>
    <w:p w:rsidR="00DF1EB6" w:rsidRDefault="002F1DC5">
      <w:pPr>
        <w:spacing w:before="26" w:after="0"/>
        <w:ind w:left="373"/>
      </w:pPr>
      <w:r>
        <w:rPr>
          <w:color w:val="000000"/>
        </w:rPr>
        <w:t xml:space="preserve">(ii) </w:t>
      </w:r>
      <w:r>
        <w:rPr>
          <w:color w:val="1B1B1B"/>
        </w:rPr>
        <w:t>rozporządzenie</w:t>
      </w:r>
      <w:r>
        <w:rPr>
          <w:color w:val="000000"/>
        </w:rPr>
        <w:t xml:space="preserve"> Parlamentu Europejskiego i Rady (UE) 2016/679 z dnia 27 kwietnia 2016 r. w sprawie ochrony osób fizycznych w związku z przetwarzaniem danych osobowych</w:t>
      </w:r>
      <w:r>
        <w:rPr>
          <w:color w:val="000000"/>
        </w:rPr>
        <w:t xml:space="preserve"> i w sprawie swobodnego przepływu takich danych oraz uchylenia dyrektywy 95/46/WE (ogólne rozporządzenie o ochronie danych) (</w:t>
      </w:r>
      <w:proofErr w:type="spellStart"/>
      <w:r>
        <w:rPr>
          <w:color w:val="000000"/>
        </w:rPr>
        <w:t>Dz.U</w:t>
      </w:r>
      <w:proofErr w:type="spellEnd"/>
      <w:r>
        <w:rPr>
          <w:color w:val="000000"/>
        </w:rPr>
        <w:t>. L 119 z 4.5.2016, s. 1);</w:t>
      </w:r>
    </w:p>
    <w:p w:rsidR="00DF1EB6" w:rsidRDefault="002F1DC5">
      <w:pPr>
        <w:spacing w:before="26" w:after="0"/>
        <w:ind w:left="373"/>
      </w:pPr>
      <w:r>
        <w:rPr>
          <w:color w:val="000000"/>
        </w:rPr>
        <w:t xml:space="preserve">(iii) </w:t>
      </w:r>
      <w:r>
        <w:rPr>
          <w:color w:val="1B1B1B"/>
        </w:rPr>
        <w:t>dyrektywa</w:t>
      </w:r>
      <w:r>
        <w:rPr>
          <w:color w:val="000000"/>
        </w:rPr>
        <w:t xml:space="preserve"> Parlamentu Europejskiego i Rady (UE) 2016/1148 z dnia 6 lipca 2016 r. w sprawie środków na rzecz wysokiego wspólnego poziomu bezpieczeństwa sieci i systemów informatycznych na terytorium Unii (</w:t>
      </w:r>
      <w:proofErr w:type="spellStart"/>
      <w:r>
        <w:rPr>
          <w:color w:val="000000"/>
        </w:rPr>
        <w:t>Dz.U</w:t>
      </w:r>
      <w:proofErr w:type="spellEnd"/>
      <w:r>
        <w:rPr>
          <w:color w:val="000000"/>
        </w:rPr>
        <w:t>. L 194 z 19.7.2016, s. 1).</w:t>
      </w:r>
    </w:p>
    <w:p w:rsidR="00DF1EB6" w:rsidRDefault="00DF1EB6">
      <w:pPr>
        <w:spacing w:after="0"/>
      </w:pPr>
    </w:p>
    <w:p w:rsidR="00DF1EB6" w:rsidRDefault="002F1DC5">
      <w:pPr>
        <w:spacing w:before="89" w:after="0"/>
        <w:jc w:val="center"/>
      </w:pPr>
      <w:r>
        <w:rPr>
          <w:b/>
          <w:color w:val="000000"/>
        </w:rPr>
        <w:t>Część  II</w:t>
      </w:r>
    </w:p>
    <w:p w:rsidR="00DF1EB6" w:rsidRDefault="002F1DC5">
      <w:pPr>
        <w:spacing w:before="25" w:after="0"/>
        <w:jc w:val="center"/>
      </w:pPr>
      <w:r>
        <w:rPr>
          <w:b/>
          <w:color w:val="000000"/>
        </w:rPr>
        <w:t xml:space="preserve">Art. 3. ust. 1 </w:t>
      </w:r>
      <w:r>
        <w:rPr>
          <w:b/>
          <w:color w:val="000000"/>
        </w:rPr>
        <w:t>odnosi się do niżej wymienionych przepisów Unii:</w:t>
      </w:r>
    </w:p>
    <w:p w:rsidR="00DF1EB6" w:rsidRDefault="002F1DC5">
      <w:pPr>
        <w:spacing w:after="0"/>
      </w:pPr>
      <w:r>
        <w:rPr>
          <w:color w:val="000000"/>
        </w:rPr>
        <w:t xml:space="preserve">A. Art. 2 ust. 1 lit. a) </w:t>
      </w:r>
      <w:proofErr w:type="spellStart"/>
      <w:r>
        <w:rPr>
          <w:color w:val="000000"/>
        </w:rPr>
        <w:t>ppkt</w:t>
      </w:r>
      <w:proofErr w:type="spellEnd"/>
      <w:r>
        <w:rPr>
          <w:color w:val="000000"/>
        </w:rPr>
        <w:t xml:space="preserve"> (ii) - usługi, produkty i rynki finansowe oraz zapobieganie praniu pieniędzy i finansowaniu terroryzmu:</w:t>
      </w:r>
    </w:p>
    <w:p w:rsidR="00DF1EB6" w:rsidRDefault="002F1DC5">
      <w:pPr>
        <w:spacing w:before="26" w:after="0"/>
        <w:ind w:left="373"/>
      </w:pPr>
      <w:r>
        <w:rPr>
          <w:color w:val="000000"/>
        </w:rPr>
        <w:t>1. Usługi finansowe:</w:t>
      </w:r>
    </w:p>
    <w:p w:rsidR="00DF1EB6" w:rsidRDefault="002F1DC5">
      <w:pPr>
        <w:spacing w:after="0"/>
        <w:ind w:left="373"/>
      </w:pPr>
      <w:r>
        <w:rPr>
          <w:color w:val="000000"/>
        </w:rPr>
        <w:t xml:space="preserve">(i) </w:t>
      </w:r>
      <w:r>
        <w:rPr>
          <w:color w:val="1B1B1B"/>
        </w:rPr>
        <w:t>dyrektywa</w:t>
      </w:r>
      <w:r>
        <w:rPr>
          <w:color w:val="000000"/>
        </w:rPr>
        <w:t xml:space="preserve"> Parlamentu Europejskiego i Rady 2009/6</w:t>
      </w:r>
      <w:r>
        <w:rPr>
          <w:color w:val="000000"/>
        </w:rPr>
        <w:t>5/WE z dnia 13 lipca 2009 r. w sprawie koordynacji przepisów ustawowych, wykonawczych i administracyjnych odnoszących się do przedsiębiorstw zbiorowego inwestowania w zbywalne papiery wartościowe (UCITS) (</w:t>
      </w:r>
      <w:proofErr w:type="spellStart"/>
      <w:r>
        <w:rPr>
          <w:color w:val="000000"/>
        </w:rPr>
        <w:t>Dz.U</w:t>
      </w:r>
      <w:proofErr w:type="spellEnd"/>
      <w:r>
        <w:rPr>
          <w:color w:val="000000"/>
        </w:rPr>
        <w:t>. L 302 z 17.11.2009, s. 32);</w:t>
      </w:r>
    </w:p>
    <w:p w:rsidR="00DF1EB6" w:rsidRDefault="002F1DC5">
      <w:pPr>
        <w:spacing w:before="26" w:after="0"/>
        <w:ind w:left="746"/>
      </w:pPr>
      <w:r>
        <w:rPr>
          <w:color w:val="000000"/>
        </w:rPr>
        <w:t xml:space="preserve">(ii) </w:t>
      </w:r>
      <w:r>
        <w:rPr>
          <w:color w:val="1B1B1B"/>
        </w:rPr>
        <w:t>dyrektywa</w:t>
      </w:r>
      <w:r>
        <w:rPr>
          <w:color w:val="000000"/>
        </w:rPr>
        <w:t xml:space="preserve"> Pa</w:t>
      </w:r>
      <w:r>
        <w:rPr>
          <w:color w:val="000000"/>
        </w:rPr>
        <w:t>rlamentu Europejskiego i Rady (UE) 2016/2341 z dnia 14 grudnia 2016 r. w sprawie działalności instytucji pracowniczych programów emerytalnych oraz nadzoru nad takimi instytucjami (IORP) (</w:t>
      </w:r>
      <w:proofErr w:type="spellStart"/>
      <w:r>
        <w:rPr>
          <w:color w:val="000000"/>
        </w:rPr>
        <w:t>Dz.U</w:t>
      </w:r>
      <w:proofErr w:type="spellEnd"/>
      <w:r>
        <w:rPr>
          <w:color w:val="000000"/>
        </w:rPr>
        <w:t>. L 354 z 23.12.2016, s. 37);</w:t>
      </w:r>
    </w:p>
    <w:p w:rsidR="00DF1EB6" w:rsidRDefault="002F1DC5">
      <w:pPr>
        <w:spacing w:before="26" w:after="0"/>
        <w:ind w:left="746"/>
      </w:pPr>
      <w:r>
        <w:rPr>
          <w:color w:val="000000"/>
        </w:rPr>
        <w:t xml:space="preserve">(iii) </w:t>
      </w:r>
      <w:r>
        <w:rPr>
          <w:color w:val="1B1B1B"/>
        </w:rPr>
        <w:t>dyrektywa</w:t>
      </w:r>
      <w:r>
        <w:rPr>
          <w:color w:val="000000"/>
        </w:rPr>
        <w:t xml:space="preserve"> 2006/43/WE Parlamen</w:t>
      </w:r>
      <w:r>
        <w:rPr>
          <w:color w:val="000000"/>
        </w:rPr>
        <w:t>tu Europejskiego i Rady z dnia 17 maja 2006 r. w sprawie ustawowych badań rocznych sprawozdań finansowych i skonsolidowanych sprawozdań finansowych, zmieniająca dyrektywy Rady 78/660/EWG i 83/349/EWG oraz uchylająca dyrektywę Rady 84/253/EWG (</w:t>
      </w:r>
      <w:proofErr w:type="spellStart"/>
      <w:r>
        <w:rPr>
          <w:color w:val="000000"/>
        </w:rPr>
        <w:t>Dz.U</w:t>
      </w:r>
      <w:proofErr w:type="spellEnd"/>
      <w:r>
        <w:rPr>
          <w:color w:val="000000"/>
        </w:rPr>
        <w:t>. L 157 z</w:t>
      </w:r>
      <w:r>
        <w:rPr>
          <w:color w:val="000000"/>
        </w:rPr>
        <w:t xml:space="preserve"> 9.6.2006, s. 87);</w:t>
      </w:r>
    </w:p>
    <w:p w:rsidR="00DF1EB6" w:rsidRDefault="002F1DC5">
      <w:pPr>
        <w:spacing w:before="26" w:after="0"/>
        <w:ind w:left="746"/>
      </w:pPr>
      <w:r>
        <w:rPr>
          <w:color w:val="000000"/>
        </w:rPr>
        <w:t xml:space="preserve">(iv) </w:t>
      </w:r>
      <w:r>
        <w:rPr>
          <w:color w:val="1B1B1B"/>
        </w:rPr>
        <w:t>rozporządzenie</w:t>
      </w:r>
      <w:r>
        <w:rPr>
          <w:color w:val="000000"/>
        </w:rPr>
        <w:t xml:space="preserve"> Parlamentu Europejskiego i Rady (UE) nr 596/2014 z dnia 16 kwietnia 2014 r. w sprawie nadużyć na rynku (rozporządzenie w sprawie nadużyć na rynku) oraz uchylające dyrektywę 2003/6/WE Parlamentu Europejskiego i Rady i </w:t>
      </w:r>
      <w:r>
        <w:rPr>
          <w:color w:val="000000"/>
        </w:rPr>
        <w:t>dyrektywy Komisji 2003/124/WE, 2003/125/WE i 2004/72/WE (</w:t>
      </w:r>
      <w:proofErr w:type="spellStart"/>
      <w:r>
        <w:rPr>
          <w:color w:val="000000"/>
        </w:rPr>
        <w:t>Dz.U</w:t>
      </w:r>
      <w:proofErr w:type="spellEnd"/>
      <w:r>
        <w:rPr>
          <w:color w:val="000000"/>
        </w:rPr>
        <w:t>. L 173 z 12.6.2014, s. 1);</w:t>
      </w:r>
    </w:p>
    <w:p w:rsidR="00DF1EB6" w:rsidRDefault="002F1DC5">
      <w:pPr>
        <w:spacing w:before="26" w:after="0"/>
        <w:ind w:left="746"/>
      </w:pPr>
      <w:r>
        <w:rPr>
          <w:color w:val="000000"/>
        </w:rPr>
        <w:t xml:space="preserve">(v) </w:t>
      </w:r>
      <w:r>
        <w:rPr>
          <w:color w:val="1B1B1B"/>
        </w:rPr>
        <w:t>dyrektywa</w:t>
      </w:r>
      <w:r>
        <w:rPr>
          <w:color w:val="000000"/>
        </w:rPr>
        <w:t xml:space="preserve"> Parlamentu Europejskiego i Rady 2013/36/UE z dnia 26 czerwca 2013 r. w sprawie warunków dopuszczenia instytucji kredytowych do działalności oraz nadzoru </w:t>
      </w:r>
      <w:proofErr w:type="spellStart"/>
      <w:r>
        <w:rPr>
          <w:color w:val="000000"/>
        </w:rPr>
        <w:t>ostrożnościowego</w:t>
      </w:r>
      <w:proofErr w:type="spellEnd"/>
      <w:r>
        <w:rPr>
          <w:color w:val="000000"/>
        </w:rPr>
        <w:t xml:space="preserve"> nad instytucjami kredytowymi i firmami inwestycyjnymi, zmieniająca dyrektywę 2002/87/WE i uchylająca dyrektywy 2006/48/WE oraz 2006/49/WE (</w:t>
      </w:r>
      <w:proofErr w:type="spellStart"/>
      <w:r>
        <w:rPr>
          <w:color w:val="000000"/>
        </w:rPr>
        <w:t>Dz.U</w:t>
      </w:r>
      <w:proofErr w:type="spellEnd"/>
      <w:r>
        <w:rPr>
          <w:color w:val="000000"/>
        </w:rPr>
        <w:t>. L 176 z 27.6.2013, s. 338);</w:t>
      </w:r>
    </w:p>
    <w:p w:rsidR="00DF1EB6" w:rsidRDefault="002F1DC5">
      <w:pPr>
        <w:spacing w:before="26" w:after="0"/>
        <w:ind w:left="746"/>
      </w:pPr>
      <w:r>
        <w:rPr>
          <w:color w:val="000000"/>
        </w:rPr>
        <w:t xml:space="preserve">(vi) </w:t>
      </w:r>
      <w:r>
        <w:rPr>
          <w:color w:val="1B1B1B"/>
        </w:rPr>
        <w:t>dyrektywa</w:t>
      </w:r>
      <w:r>
        <w:rPr>
          <w:color w:val="000000"/>
        </w:rPr>
        <w:t xml:space="preserve"> Parlamentu Europejskiego i Rady 2014/65/UE z dnia 1</w:t>
      </w:r>
      <w:r>
        <w:rPr>
          <w:color w:val="000000"/>
        </w:rPr>
        <w:t>5 maja 2014 r. w sprawie rynków instrumentów finansowych oraz zmieniająca dyrektywę 2002/92/WE i dyrektywę 2011/61/UE (</w:t>
      </w:r>
      <w:proofErr w:type="spellStart"/>
      <w:r>
        <w:rPr>
          <w:color w:val="000000"/>
        </w:rPr>
        <w:t>Dz.U</w:t>
      </w:r>
      <w:proofErr w:type="spellEnd"/>
      <w:r>
        <w:rPr>
          <w:color w:val="000000"/>
        </w:rPr>
        <w:t>. L 173 z 12.6.2014, s. 349);</w:t>
      </w:r>
    </w:p>
    <w:p w:rsidR="00DF1EB6" w:rsidRDefault="002F1DC5">
      <w:pPr>
        <w:spacing w:before="26" w:after="0"/>
        <w:ind w:left="746"/>
      </w:pPr>
      <w:r>
        <w:rPr>
          <w:color w:val="000000"/>
        </w:rPr>
        <w:t xml:space="preserve">(vii) </w:t>
      </w:r>
      <w:r>
        <w:rPr>
          <w:color w:val="1B1B1B"/>
        </w:rPr>
        <w:t>rozporządzenie</w:t>
      </w:r>
      <w:r>
        <w:rPr>
          <w:color w:val="000000"/>
        </w:rPr>
        <w:t xml:space="preserve"> Parlamentu Europejskiego i Rady (UE) nr 909/2014 z dnia 23 lipca 2014 r. w sprawie</w:t>
      </w:r>
      <w:r>
        <w:rPr>
          <w:color w:val="000000"/>
        </w:rPr>
        <w:t xml:space="preserve"> usprawnienia rozrachunku papierów wartościowych w Unii Europejskiej i w sprawie centralnych depozytów papierów wartościowych, </w:t>
      </w:r>
      <w:r>
        <w:rPr>
          <w:color w:val="000000"/>
        </w:rPr>
        <w:lastRenderedPageBreak/>
        <w:t>zmieniające dyrektywy 98/26/WE i 2014/65/UE oraz rozporządzenie (UE) nr 236/2012 (</w:t>
      </w:r>
      <w:proofErr w:type="spellStart"/>
      <w:r>
        <w:rPr>
          <w:color w:val="000000"/>
        </w:rPr>
        <w:t>Dz.U</w:t>
      </w:r>
      <w:proofErr w:type="spellEnd"/>
      <w:r>
        <w:rPr>
          <w:color w:val="000000"/>
        </w:rPr>
        <w:t>. L 257 z 28.8.2014, s. 1);</w:t>
      </w:r>
    </w:p>
    <w:p w:rsidR="00DF1EB6" w:rsidRDefault="002F1DC5">
      <w:pPr>
        <w:spacing w:before="26" w:after="0"/>
        <w:ind w:left="746"/>
      </w:pPr>
      <w:r>
        <w:rPr>
          <w:color w:val="000000"/>
        </w:rPr>
        <w:t xml:space="preserve">(viii) </w:t>
      </w:r>
      <w:r>
        <w:rPr>
          <w:color w:val="1B1B1B"/>
        </w:rPr>
        <w:t>rozporzą</w:t>
      </w:r>
      <w:r>
        <w:rPr>
          <w:color w:val="1B1B1B"/>
        </w:rPr>
        <w:t>dzenie</w:t>
      </w:r>
      <w:r>
        <w:rPr>
          <w:color w:val="000000"/>
        </w:rPr>
        <w:t xml:space="preserve"> Parlamentu Europejskiego i Rady (UE) nr 1286/2014 z dnia 26 listopada 2014 r. w sprawie dokumentów zawierających kluczowe informacje, dotyczących detalicznych produktów zbiorowego inwestowania i ubezpieczeniowych produktów inwestycyjnych (PRIIP) (</w:t>
      </w:r>
      <w:proofErr w:type="spellStart"/>
      <w:r>
        <w:rPr>
          <w:color w:val="000000"/>
        </w:rPr>
        <w:t>Dz</w:t>
      </w:r>
      <w:r>
        <w:rPr>
          <w:color w:val="000000"/>
        </w:rPr>
        <w:t>.U</w:t>
      </w:r>
      <w:proofErr w:type="spellEnd"/>
      <w:r>
        <w:rPr>
          <w:color w:val="000000"/>
        </w:rPr>
        <w:t>. L 352 z 9.12.2014, s. 1);</w:t>
      </w:r>
    </w:p>
    <w:p w:rsidR="00DF1EB6" w:rsidRDefault="002F1DC5">
      <w:pPr>
        <w:spacing w:before="26" w:after="0"/>
        <w:ind w:left="746"/>
      </w:pPr>
      <w:r>
        <w:rPr>
          <w:color w:val="000000"/>
        </w:rPr>
        <w:t xml:space="preserve">(ix) </w:t>
      </w:r>
      <w:r>
        <w:rPr>
          <w:color w:val="1B1B1B"/>
        </w:rPr>
        <w:t>rozporządzenie</w:t>
      </w:r>
      <w:r>
        <w:rPr>
          <w:color w:val="000000"/>
        </w:rPr>
        <w:t xml:space="preserve"> Parlamentu Europejskiego i Rady (UE) 2015/2365 z dnia 25 listopada 2015 r. w sprawie przejrzystości transakcji finansowanych z użyciem papierów wartościowych i ponownego wykorzystania oraz zmiany rozporządz</w:t>
      </w:r>
      <w:r>
        <w:rPr>
          <w:color w:val="000000"/>
        </w:rPr>
        <w:t>enia (UE) nr 648/2012 (</w:t>
      </w:r>
      <w:proofErr w:type="spellStart"/>
      <w:r>
        <w:rPr>
          <w:color w:val="000000"/>
        </w:rPr>
        <w:t>Dz.U</w:t>
      </w:r>
      <w:proofErr w:type="spellEnd"/>
      <w:r>
        <w:rPr>
          <w:color w:val="000000"/>
        </w:rPr>
        <w:t>. L 337 z 23.12.2015, s. 1);</w:t>
      </w:r>
    </w:p>
    <w:p w:rsidR="00DF1EB6" w:rsidRDefault="002F1DC5">
      <w:pPr>
        <w:spacing w:before="26" w:after="0"/>
        <w:ind w:left="746"/>
      </w:pPr>
      <w:r>
        <w:rPr>
          <w:color w:val="000000"/>
        </w:rPr>
        <w:t xml:space="preserve">(x) </w:t>
      </w:r>
      <w:r>
        <w:rPr>
          <w:color w:val="1B1B1B"/>
        </w:rPr>
        <w:t>dyrektywa</w:t>
      </w:r>
      <w:r>
        <w:rPr>
          <w:color w:val="000000"/>
        </w:rPr>
        <w:t xml:space="preserve"> Parlamentu Europejskiego i Rady (UE) 2016/97 z dnia 20 stycznia 2016 r. w sprawie dystrybucji ubezpieczeń (</w:t>
      </w:r>
      <w:proofErr w:type="spellStart"/>
      <w:r>
        <w:rPr>
          <w:color w:val="000000"/>
        </w:rPr>
        <w:t>Dz.U</w:t>
      </w:r>
      <w:proofErr w:type="spellEnd"/>
      <w:r>
        <w:rPr>
          <w:color w:val="000000"/>
        </w:rPr>
        <w:t>. L 26 z 2.2.2016, s. 19);</w:t>
      </w:r>
    </w:p>
    <w:p w:rsidR="00DF1EB6" w:rsidRDefault="002F1DC5">
      <w:pPr>
        <w:spacing w:before="26" w:after="0"/>
        <w:ind w:left="746"/>
      </w:pPr>
      <w:r>
        <w:rPr>
          <w:color w:val="000000"/>
        </w:rPr>
        <w:t xml:space="preserve">(xi) </w:t>
      </w:r>
      <w:r>
        <w:rPr>
          <w:color w:val="1B1B1B"/>
        </w:rPr>
        <w:t>rozporządzenie</w:t>
      </w:r>
      <w:r>
        <w:rPr>
          <w:color w:val="000000"/>
        </w:rPr>
        <w:t xml:space="preserve"> Parlamentu Europejskiego i R</w:t>
      </w:r>
      <w:r>
        <w:rPr>
          <w:color w:val="000000"/>
        </w:rPr>
        <w:t>ady (UE) 2017/1129 z dnia 14 czerwca 2017 r. w sprawie prospektu, który ma być publikowany w związku z ofertą publiczną papierów wartościowych lub dopuszczeniem ich do obrotu na rynku regulowanym oraz uchylenia dyrektywy 2003/71/WE (</w:t>
      </w:r>
      <w:proofErr w:type="spellStart"/>
      <w:r>
        <w:rPr>
          <w:color w:val="000000"/>
        </w:rPr>
        <w:t>Dz.U</w:t>
      </w:r>
      <w:proofErr w:type="spellEnd"/>
      <w:r>
        <w:rPr>
          <w:color w:val="000000"/>
        </w:rPr>
        <w:t>. L 168 z 30.6.2017</w:t>
      </w:r>
      <w:r>
        <w:rPr>
          <w:color w:val="000000"/>
        </w:rPr>
        <w:t>, s. 12).</w:t>
      </w:r>
    </w:p>
    <w:p w:rsidR="00DF1EB6" w:rsidRDefault="002F1DC5">
      <w:pPr>
        <w:spacing w:before="26" w:after="0"/>
        <w:ind w:left="373"/>
      </w:pPr>
      <w:r>
        <w:rPr>
          <w:color w:val="000000"/>
        </w:rPr>
        <w:t>2. Zapobieganie praniu pieniędzy i finansowaniu terroryzmu:</w:t>
      </w:r>
    </w:p>
    <w:p w:rsidR="00DF1EB6" w:rsidRDefault="002F1DC5">
      <w:pPr>
        <w:spacing w:after="0"/>
        <w:ind w:left="373"/>
      </w:pPr>
      <w:r>
        <w:rPr>
          <w:color w:val="000000"/>
        </w:rPr>
        <w:t xml:space="preserve">(i) </w:t>
      </w:r>
      <w:r>
        <w:rPr>
          <w:color w:val="1B1B1B"/>
        </w:rPr>
        <w:t>dyrektywa</w:t>
      </w:r>
      <w:r>
        <w:rPr>
          <w:color w:val="000000"/>
        </w:rPr>
        <w:t xml:space="preserve"> Parlamentu Europejskiego i Rady (UE) 2015/849 z dnia 20 maja 2015 r. w sprawie zapobiegania wykorzystywaniu systemu finansowego do prania pieniędzy lub finansowania terrory</w:t>
      </w:r>
      <w:r>
        <w:rPr>
          <w:color w:val="000000"/>
        </w:rPr>
        <w:t xml:space="preserve">zmu, zmieniająca </w:t>
      </w:r>
      <w:r>
        <w:rPr>
          <w:color w:val="1B1B1B"/>
        </w:rPr>
        <w:t>rozporządzenie</w:t>
      </w:r>
      <w:r>
        <w:rPr>
          <w:color w:val="000000"/>
        </w:rPr>
        <w:t xml:space="preserve"> Parlamentu Europejskiego i Rady (UE) nr 648/2012 i uchylająca </w:t>
      </w:r>
      <w:r>
        <w:rPr>
          <w:color w:val="1B1B1B"/>
        </w:rPr>
        <w:t>dyrektywę</w:t>
      </w:r>
      <w:r>
        <w:rPr>
          <w:color w:val="000000"/>
        </w:rPr>
        <w:t xml:space="preserve"> Parlamentu Europejskiego i Rady 2005/60/WE oraz </w:t>
      </w:r>
      <w:r>
        <w:rPr>
          <w:color w:val="1B1B1B"/>
        </w:rPr>
        <w:t>dyrektywę</w:t>
      </w:r>
      <w:r>
        <w:rPr>
          <w:color w:val="000000"/>
        </w:rPr>
        <w:t xml:space="preserve"> Komisji 2006/70/WE (</w:t>
      </w:r>
      <w:proofErr w:type="spellStart"/>
      <w:r>
        <w:rPr>
          <w:color w:val="000000"/>
        </w:rPr>
        <w:t>Dz.U</w:t>
      </w:r>
      <w:proofErr w:type="spellEnd"/>
      <w:r>
        <w:rPr>
          <w:color w:val="000000"/>
        </w:rPr>
        <w:t>. L 141 z 5.6.2015, s. 73);</w:t>
      </w:r>
    </w:p>
    <w:p w:rsidR="00DF1EB6" w:rsidRDefault="002F1DC5">
      <w:pPr>
        <w:spacing w:before="26" w:after="0"/>
        <w:ind w:left="746"/>
      </w:pPr>
      <w:r>
        <w:rPr>
          <w:color w:val="000000"/>
        </w:rPr>
        <w:t xml:space="preserve">(ii) </w:t>
      </w:r>
      <w:r>
        <w:rPr>
          <w:color w:val="1B1B1B"/>
        </w:rPr>
        <w:t>rozporządzenie</w:t>
      </w:r>
      <w:r>
        <w:rPr>
          <w:color w:val="000000"/>
        </w:rPr>
        <w:t xml:space="preserve"> Parlamentu Europejskie</w:t>
      </w:r>
      <w:r>
        <w:rPr>
          <w:color w:val="000000"/>
        </w:rPr>
        <w:t>go i Rady (UE) 2015/847 z dnia 20 maja 2015 r. w sprawie informacji towarzyszących transferom środków pieniężnych i uchylenia rozporządzenia (WE) nr 1781/2006 (</w:t>
      </w:r>
      <w:proofErr w:type="spellStart"/>
      <w:r>
        <w:rPr>
          <w:color w:val="000000"/>
        </w:rPr>
        <w:t>Dz.U</w:t>
      </w:r>
      <w:proofErr w:type="spellEnd"/>
      <w:r>
        <w:rPr>
          <w:color w:val="000000"/>
        </w:rPr>
        <w:t>. L 141 z 5.6.2015, s. 1).</w:t>
      </w:r>
    </w:p>
    <w:p w:rsidR="00DF1EB6" w:rsidRDefault="002F1DC5">
      <w:pPr>
        <w:spacing w:after="0"/>
        <w:ind w:left="746"/>
      </w:pPr>
      <w:r>
        <w:rPr>
          <w:color w:val="000000"/>
        </w:rPr>
        <w:t xml:space="preserve">B. Art. 2 ust. 1 lit. a) </w:t>
      </w:r>
      <w:proofErr w:type="spellStart"/>
      <w:r>
        <w:rPr>
          <w:color w:val="000000"/>
        </w:rPr>
        <w:t>ppkt</w:t>
      </w:r>
      <w:proofErr w:type="spellEnd"/>
      <w:r>
        <w:rPr>
          <w:color w:val="000000"/>
        </w:rPr>
        <w:t xml:space="preserve"> (iv) - bezpieczeństwo transportu:</w:t>
      </w:r>
    </w:p>
    <w:p w:rsidR="00DF1EB6" w:rsidRDefault="002F1DC5">
      <w:pPr>
        <w:spacing w:after="0"/>
        <w:ind w:left="746"/>
      </w:pPr>
      <w:r>
        <w:rPr>
          <w:color w:val="000000"/>
        </w:rPr>
        <w:t>(</w:t>
      </w:r>
      <w:r>
        <w:rPr>
          <w:color w:val="000000"/>
        </w:rPr>
        <w:t xml:space="preserve">i) </w:t>
      </w:r>
      <w:r>
        <w:rPr>
          <w:color w:val="1B1B1B"/>
        </w:rPr>
        <w:t>rozporządzenie</w:t>
      </w:r>
      <w:r>
        <w:rPr>
          <w:color w:val="000000"/>
        </w:rPr>
        <w:t xml:space="preserve"> Parlamentu Europejskiego i Rady (UE) nr 376/2014 z dnia 3 kwietnia 2014 r. w sprawie zgłaszania i analizy zdarzeń w lotnictwie cywilnym oraz podejmowanych w związku z nimi działań następczych, zmiany </w:t>
      </w:r>
      <w:r>
        <w:rPr>
          <w:color w:val="1B1B1B"/>
        </w:rPr>
        <w:t>rozporządzenia</w:t>
      </w:r>
      <w:r>
        <w:rPr>
          <w:color w:val="000000"/>
        </w:rPr>
        <w:t xml:space="preserve"> Parlamentu Europejskieg</w:t>
      </w:r>
      <w:r>
        <w:rPr>
          <w:color w:val="000000"/>
        </w:rPr>
        <w:t xml:space="preserve">o i Rady (UE) nr 996/2010 oraz uchylenia </w:t>
      </w:r>
      <w:r>
        <w:rPr>
          <w:color w:val="1B1B1B"/>
        </w:rPr>
        <w:t>dyrektywy</w:t>
      </w:r>
      <w:r>
        <w:rPr>
          <w:color w:val="000000"/>
        </w:rPr>
        <w:t xml:space="preserve"> 2003/42/WE Parlamentu Europejskiego i Rady i rozporządzeń Komisji (WE) nr </w:t>
      </w:r>
      <w:r>
        <w:rPr>
          <w:color w:val="1B1B1B"/>
        </w:rPr>
        <w:t>1321/2007</w:t>
      </w:r>
      <w:r>
        <w:rPr>
          <w:color w:val="000000"/>
        </w:rPr>
        <w:t xml:space="preserve"> i (WE) nr </w:t>
      </w:r>
      <w:r>
        <w:rPr>
          <w:color w:val="1B1B1B"/>
        </w:rPr>
        <w:t>1330/2007</w:t>
      </w:r>
      <w:r>
        <w:rPr>
          <w:color w:val="000000"/>
        </w:rPr>
        <w:t xml:space="preserve"> (</w:t>
      </w:r>
      <w:proofErr w:type="spellStart"/>
      <w:r>
        <w:rPr>
          <w:color w:val="000000"/>
        </w:rPr>
        <w:t>Dz.U</w:t>
      </w:r>
      <w:proofErr w:type="spellEnd"/>
      <w:r>
        <w:rPr>
          <w:color w:val="000000"/>
        </w:rPr>
        <w:t>. L 122 z 24.4.2014, s. 18);</w:t>
      </w:r>
    </w:p>
    <w:p w:rsidR="00DF1EB6" w:rsidRDefault="002F1DC5">
      <w:pPr>
        <w:spacing w:before="26" w:after="0"/>
        <w:ind w:left="746"/>
      </w:pPr>
      <w:r>
        <w:rPr>
          <w:color w:val="000000"/>
        </w:rPr>
        <w:t xml:space="preserve">(ii) </w:t>
      </w:r>
      <w:r>
        <w:rPr>
          <w:color w:val="1B1B1B"/>
        </w:rPr>
        <w:t>dyrektywa</w:t>
      </w:r>
      <w:r>
        <w:rPr>
          <w:color w:val="000000"/>
        </w:rPr>
        <w:t xml:space="preserve"> Parlamentu Europejskiego i Rady 2013/54/UE z dnia 20 listopada 2013 r. dotycząca pewnych obowiązków państwa bandery w zakresie zgodności z Konwencją o pracy na morzu z 2006 r. oraz jej egzekwowania (</w:t>
      </w:r>
      <w:proofErr w:type="spellStart"/>
      <w:r>
        <w:rPr>
          <w:color w:val="000000"/>
        </w:rPr>
        <w:t>Dz.U</w:t>
      </w:r>
      <w:proofErr w:type="spellEnd"/>
      <w:r>
        <w:rPr>
          <w:color w:val="000000"/>
        </w:rPr>
        <w:t>. L 329 z 10.12.2013, s. 1);</w:t>
      </w:r>
    </w:p>
    <w:p w:rsidR="00DF1EB6" w:rsidRDefault="002F1DC5">
      <w:pPr>
        <w:spacing w:before="26" w:after="0"/>
        <w:ind w:left="746"/>
      </w:pPr>
      <w:r>
        <w:rPr>
          <w:color w:val="000000"/>
        </w:rPr>
        <w:t xml:space="preserve">(iii) </w:t>
      </w:r>
      <w:r>
        <w:rPr>
          <w:color w:val="1B1B1B"/>
        </w:rPr>
        <w:t>dyrektywa</w:t>
      </w:r>
      <w:r>
        <w:rPr>
          <w:color w:val="000000"/>
        </w:rPr>
        <w:t xml:space="preserve"> Parlame</w:t>
      </w:r>
      <w:r>
        <w:rPr>
          <w:color w:val="000000"/>
        </w:rPr>
        <w:t>ntu Europejskiego i Rady 2009/16/WE z dnia 23 kwietnia 2009 r. w sprawie kontroli przeprowadzanej przez państwo portu (</w:t>
      </w:r>
      <w:proofErr w:type="spellStart"/>
      <w:r>
        <w:rPr>
          <w:color w:val="000000"/>
        </w:rPr>
        <w:t>Dz.U</w:t>
      </w:r>
      <w:proofErr w:type="spellEnd"/>
      <w:r>
        <w:rPr>
          <w:color w:val="000000"/>
        </w:rPr>
        <w:t>. L 131 z 28.5.2009, s. 57).</w:t>
      </w:r>
    </w:p>
    <w:p w:rsidR="00DF1EB6" w:rsidRDefault="002F1DC5">
      <w:pPr>
        <w:spacing w:after="0"/>
        <w:ind w:left="746"/>
      </w:pPr>
      <w:r>
        <w:rPr>
          <w:color w:val="000000"/>
        </w:rPr>
        <w:t xml:space="preserve">C. Art. 2 ust. 1 lit. a) </w:t>
      </w:r>
      <w:proofErr w:type="spellStart"/>
      <w:r>
        <w:rPr>
          <w:color w:val="000000"/>
        </w:rPr>
        <w:t>ppkt</w:t>
      </w:r>
      <w:proofErr w:type="spellEnd"/>
      <w:r>
        <w:rPr>
          <w:color w:val="000000"/>
        </w:rPr>
        <w:t xml:space="preserve"> (v) - ochrona środowiska:</w:t>
      </w:r>
    </w:p>
    <w:p w:rsidR="00DF1EB6" w:rsidRDefault="002F1DC5">
      <w:pPr>
        <w:spacing w:after="0"/>
        <w:ind w:left="746"/>
      </w:pPr>
      <w:r>
        <w:rPr>
          <w:color w:val="000000"/>
        </w:rPr>
        <w:t xml:space="preserve">(i) </w:t>
      </w:r>
      <w:r>
        <w:rPr>
          <w:color w:val="1B1B1B"/>
        </w:rPr>
        <w:t>dyrektywa</w:t>
      </w:r>
      <w:r>
        <w:rPr>
          <w:color w:val="000000"/>
        </w:rPr>
        <w:t xml:space="preserve"> Parlamentu Europejskiego i Rady 2013/30/UE z dnia 12 czerwca 2013 r. w sprawie bezpieczeństwa działalności związanej ze złożami ropy naftowej i gazu </w:t>
      </w:r>
      <w:r>
        <w:rPr>
          <w:color w:val="000000"/>
        </w:rPr>
        <w:lastRenderedPageBreak/>
        <w:t xml:space="preserve">ziemnego na obszarach morskich oraz zmiany </w:t>
      </w:r>
      <w:r>
        <w:rPr>
          <w:color w:val="1B1B1B"/>
        </w:rPr>
        <w:t>dyrektywy</w:t>
      </w:r>
      <w:r>
        <w:rPr>
          <w:color w:val="000000"/>
        </w:rPr>
        <w:t xml:space="preserve"> 2004/35/WE (</w:t>
      </w:r>
      <w:proofErr w:type="spellStart"/>
      <w:r>
        <w:rPr>
          <w:color w:val="000000"/>
        </w:rPr>
        <w:t>Dz.U</w:t>
      </w:r>
      <w:proofErr w:type="spellEnd"/>
      <w:r>
        <w:rPr>
          <w:color w:val="000000"/>
        </w:rPr>
        <w:t>. L 178 z 28.6.2013, s. 66).</w:t>
      </w:r>
    </w:p>
    <w:p w:rsidR="00DF1EB6" w:rsidRDefault="002F1DC5">
      <w:pPr>
        <w:spacing w:before="250" w:after="0"/>
      </w:pPr>
      <w:r>
        <w:rPr>
          <w:color w:val="000000"/>
          <w:vertAlign w:val="superscript"/>
        </w:rPr>
        <w:t>1</w:t>
      </w:r>
      <w:r>
        <w:rPr>
          <w:color w:val="000000"/>
        </w:rPr>
        <w:t> </w:t>
      </w:r>
      <w:proofErr w:type="spellStart"/>
      <w:r>
        <w:rPr>
          <w:color w:val="000000"/>
        </w:rPr>
        <w:t>Dz.U</w:t>
      </w:r>
      <w:proofErr w:type="spellEnd"/>
      <w:r>
        <w:rPr>
          <w:color w:val="000000"/>
        </w:rPr>
        <w:t xml:space="preserve">. </w:t>
      </w:r>
      <w:r>
        <w:rPr>
          <w:color w:val="000000"/>
        </w:rPr>
        <w:t>C 405 z 9.11.2018, s. 1.</w:t>
      </w:r>
    </w:p>
    <w:p w:rsidR="00DF1EB6" w:rsidRDefault="002F1DC5">
      <w:pPr>
        <w:spacing w:after="0"/>
      </w:pPr>
      <w:r>
        <w:rPr>
          <w:color w:val="000000"/>
          <w:vertAlign w:val="superscript"/>
        </w:rPr>
        <w:t>2</w:t>
      </w:r>
      <w:r>
        <w:rPr>
          <w:color w:val="000000"/>
        </w:rPr>
        <w:t> </w:t>
      </w:r>
      <w:proofErr w:type="spellStart"/>
      <w:r>
        <w:rPr>
          <w:color w:val="000000"/>
        </w:rPr>
        <w:t>Dz.U</w:t>
      </w:r>
      <w:proofErr w:type="spellEnd"/>
      <w:r>
        <w:rPr>
          <w:color w:val="000000"/>
        </w:rPr>
        <w:t>. C 62 z 15.2.2019, s. 155.</w:t>
      </w:r>
    </w:p>
    <w:p w:rsidR="00DF1EB6" w:rsidRDefault="002F1DC5">
      <w:pPr>
        <w:spacing w:after="0"/>
      </w:pPr>
      <w:r>
        <w:rPr>
          <w:color w:val="000000"/>
          <w:vertAlign w:val="superscript"/>
        </w:rPr>
        <w:t>3</w:t>
      </w:r>
      <w:r>
        <w:rPr>
          <w:color w:val="000000"/>
        </w:rPr>
        <w:t> Stanowisko Parlamentu Europejskiego z dnia 16 kwietnia 2019 r. (dotychczas nieopublikowane w Dzienniku Urzędowym) oraz decyzja Rady z dnia 7 października 2019 r.</w:t>
      </w:r>
    </w:p>
    <w:p w:rsidR="00DF1EB6" w:rsidRDefault="002F1DC5">
      <w:pPr>
        <w:spacing w:after="0"/>
      </w:pPr>
      <w:r>
        <w:rPr>
          <w:color w:val="000000"/>
          <w:vertAlign w:val="superscript"/>
        </w:rPr>
        <w:t>4</w:t>
      </w:r>
      <w:r>
        <w:rPr>
          <w:color w:val="000000"/>
        </w:rPr>
        <w:t> </w:t>
      </w:r>
      <w:r>
        <w:rPr>
          <w:color w:val="1B1B1B"/>
        </w:rPr>
        <w:t>Dyrektywa</w:t>
      </w:r>
      <w:r>
        <w:rPr>
          <w:color w:val="000000"/>
        </w:rPr>
        <w:t xml:space="preserve"> Parlamentu Europejski</w:t>
      </w:r>
      <w:r>
        <w:rPr>
          <w:color w:val="000000"/>
        </w:rPr>
        <w:t xml:space="preserve">ego i Rady 2013/36/UE z dnia 26 czerwca 2013 r. w sprawie warunków dopuszczenia instytucji kredytowych do działalności oraz nadzoru </w:t>
      </w:r>
      <w:proofErr w:type="spellStart"/>
      <w:r>
        <w:rPr>
          <w:color w:val="000000"/>
        </w:rPr>
        <w:t>ostrożnościowego</w:t>
      </w:r>
      <w:proofErr w:type="spellEnd"/>
      <w:r>
        <w:rPr>
          <w:color w:val="000000"/>
        </w:rPr>
        <w:t xml:space="preserve"> nad instytucjami kredytowymi i firmami inwestycyjnymi, zmieniająca dyrektywę 2002/87/WE i uchylająca dyrekt</w:t>
      </w:r>
      <w:r>
        <w:rPr>
          <w:color w:val="000000"/>
        </w:rPr>
        <w:t>ywy 2006/48/WE oraz 2006/49/WE (</w:t>
      </w:r>
      <w:proofErr w:type="spellStart"/>
      <w:r>
        <w:rPr>
          <w:color w:val="000000"/>
        </w:rPr>
        <w:t>Dz.U</w:t>
      </w:r>
      <w:proofErr w:type="spellEnd"/>
      <w:r>
        <w:rPr>
          <w:color w:val="000000"/>
        </w:rPr>
        <w:t>. L 176 z 27.6.2013, s. 338).</w:t>
      </w:r>
    </w:p>
    <w:p w:rsidR="00DF1EB6" w:rsidRDefault="002F1DC5">
      <w:pPr>
        <w:spacing w:after="0"/>
      </w:pPr>
      <w:r>
        <w:rPr>
          <w:color w:val="000000"/>
          <w:vertAlign w:val="superscript"/>
        </w:rPr>
        <w:t>5</w:t>
      </w:r>
      <w:r>
        <w:rPr>
          <w:color w:val="000000"/>
        </w:rPr>
        <w:t> </w:t>
      </w:r>
      <w:r>
        <w:rPr>
          <w:color w:val="1B1B1B"/>
        </w:rPr>
        <w:t>Rozporządzenie</w:t>
      </w:r>
      <w:r>
        <w:rPr>
          <w:color w:val="000000"/>
        </w:rPr>
        <w:t xml:space="preserve"> Parlamentu Europejskiego i Rady (UE) nr 575/2013 z dnia 26 czerwca 2013 r. w sprawie wymogów </w:t>
      </w:r>
      <w:proofErr w:type="spellStart"/>
      <w:r>
        <w:rPr>
          <w:color w:val="000000"/>
        </w:rPr>
        <w:t>ostrożnościowych</w:t>
      </w:r>
      <w:proofErr w:type="spellEnd"/>
      <w:r>
        <w:rPr>
          <w:color w:val="000000"/>
        </w:rPr>
        <w:t xml:space="preserve"> dla instytucji kredytowych i firm inwestycyjnych, zmieniające r</w:t>
      </w:r>
      <w:r>
        <w:rPr>
          <w:color w:val="000000"/>
        </w:rPr>
        <w:t>ozporządzenie (UE) nr 648/2012 (</w:t>
      </w:r>
      <w:proofErr w:type="spellStart"/>
      <w:r>
        <w:rPr>
          <w:color w:val="000000"/>
        </w:rPr>
        <w:t>Dz.U</w:t>
      </w:r>
      <w:proofErr w:type="spellEnd"/>
      <w:r>
        <w:rPr>
          <w:color w:val="000000"/>
        </w:rPr>
        <w:t>. L 176 z 27.6.2013, s. 1).</w:t>
      </w:r>
    </w:p>
    <w:p w:rsidR="00DF1EB6" w:rsidRDefault="002F1DC5">
      <w:pPr>
        <w:spacing w:after="0"/>
      </w:pPr>
      <w:r>
        <w:rPr>
          <w:color w:val="000000"/>
          <w:vertAlign w:val="superscript"/>
        </w:rPr>
        <w:t>6</w:t>
      </w:r>
      <w:r>
        <w:rPr>
          <w:color w:val="000000"/>
        </w:rPr>
        <w:t> </w:t>
      </w:r>
      <w:r>
        <w:rPr>
          <w:color w:val="1B1B1B"/>
        </w:rPr>
        <w:t>Rozporządzenie</w:t>
      </w:r>
      <w:r>
        <w:rPr>
          <w:color w:val="000000"/>
        </w:rPr>
        <w:t xml:space="preserve"> Parlamentu Europejskiego i Rady (UE) 2019/1020 z dnia 20 czerwca 2019 r. w sprawie nadzoru rynku i zgodności produktów oraz zmieniające dyrektywę 2004/42/WE oraz rozporządzeni</w:t>
      </w:r>
      <w:r>
        <w:rPr>
          <w:color w:val="000000"/>
        </w:rPr>
        <w:t>a (WE) nr 765/2008 i (UE) nr 305/2011 (</w:t>
      </w:r>
      <w:proofErr w:type="spellStart"/>
      <w:r>
        <w:rPr>
          <w:color w:val="000000"/>
        </w:rPr>
        <w:t>Dz.U</w:t>
      </w:r>
      <w:proofErr w:type="spellEnd"/>
      <w:r>
        <w:rPr>
          <w:color w:val="000000"/>
        </w:rPr>
        <w:t>. L 169 z 25.6.2019, s. 1).</w:t>
      </w:r>
    </w:p>
    <w:p w:rsidR="00DF1EB6" w:rsidRDefault="002F1DC5">
      <w:pPr>
        <w:spacing w:after="0"/>
      </w:pPr>
      <w:r>
        <w:rPr>
          <w:color w:val="000000"/>
          <w:vertAlign w:val="superscript"/>
        </w:rPr>
        <w:t>7</w:t>
      </w:r>
      <w:r>
        <w:rPr>
          <w:color w:val="000000"/>
        </w:rPr>
        <w:t> </w:t>
      </w:r>
      <w:r>
        <w:rPr>
          <w:color w:val="1B1B1B"/>
        </w:rPr>
        <w:t>Dyrektywa</w:t>
      </w:r>
      <w:r>
        <w:rPr>
          <w:color w:val="000000"/>
        </w:rPr>
        <w:t xml:space="preserve"> 2001/95/WE Parlamentu Europejskiego i Rady z dnia 3 grudnia 2001 r. w sprawie ogólnego bezpieczeństwa produktów (</w:t>
      </w:r>
      <w:proofErr w:type="spellStart"/>
      <w:r>
        <w:rPr>
          <w:color w:val="000000"/>
        </w:rPr>
        <w:t>Dz.U</w:t>
      </w:r>
      <w:proofErr w:type="spellEnd"/>
      <w:r>
        <w:rPr>
          <w:color w:val="000000"/>
        </w:rPr>
        <w:t>. L 11 z 15.1.2002, s. 4).</w:t>
      </w:r>
    </w:p>
    <w:p w:rsidR="00DF1EB6" w:rsidRDefault="002F1DC5">
      <w:pPr>
        <w:spacing w:after="0"/>
      </w:pPr>
      <w:r>
        <w:rPr>
          <w:color w:val="000000"/>
          <w:vertAlign w:val="superscript"/>
        </w:rPr>
        <w:t>8</w:t>
      </w:r>
      <w:r>
        <w:rPr>
          <w:color w:val="000000"/>
        </w:rPr>
        <w:t> </w:t>
      </w:r>
      <w:r>
        <w:rPr>
          <w:color w:val="1B1B1B"/>
        </w:rPr>
        <w:t>Rozporządzenie</w:t>
      </w:r>
      <w:r>
        <w:rPr>
          <w:color w:val="000000"/>
        </w:rPr>
        <w:t xml:space="preserve"> Parlamentu E</w:t>
      </w:r>
      <w:r>
        <w:rPr>
          <w:color w:val="000000"/>
        </w:rPr>
        <w:t>uropejskiego i Rady (UE) nr 376/2014 z dnia 3 kwietnia 2014 r. w sprawie zgłaszania i analizy zdarzeń w lotnictwie cywilnym oraz podejmowanych w związku z nimi działań następczych, zmiany rozporządzenia Parlamentu Europejskiego i Rady (UE) nr 996/2010 oraz</w:t>
      </w:r>
      <w:r>
        <w:rPr>
          <w:color w:val="000000"/>
        </w:rPr>
        <w:t xml:space="preserve"> uchylenia dyrektywy 2003/42/WE Parlamentu Europejskiego i Rady i rozporządzeń Komisji (WE) nr 1321/2007 i (WE) nr 1330/2007 (</w:t>
      </w:r>
      <w:proofErr w:type="spellStart"/>
      <w:r>
        <w:rPr>
          <w:color w:val="000000"/>
        </w:rPr>
        <w:t>Dz.U</w:t>
      </w:r>
      <w:proofErr w:type="spellEnd"/>
      <w:r>
        <w:rPr>
          <w:color w:val="000000"/>
        </w:rPr>
        <w:t>. L 122 z 24.4.2014, s. 18).</w:t>
      </w:r>
    </w:p>
    <w:p w:rsidR="00DF1EB6" w:rsidRDefault="002F1DC5">
      <w:pPr>
        <w:spacing w:after="0"/>
      </w:pPr>
      <w:r>
        <w:rPr>
          <w:color w:val="000000"/>
          <w:vertAlign w:val="superscript"/>
        </w:rPr>
        <w:t>9</w:t>
      </w:r>
      <w:r>
        <w:rPr>
          <w:color w:val="000000"/>
        </w:rPr>
        <w:t> </w:t>
      </w:r>
      <w:r>
        <w:rPr>
          <w:color w:val="1B1B1B"/>
        </w:rPr>
        <w:t>Dyrektywa</w:t>
      </w:r>
      <w:r>
        <w:rPr>
          <w:color w:val="000000"/>
        </w:rPr>
        <w:t xml:space="preserve"> Parlamentu Europejskiego i Rady 2013/54/UE z dnia 20 listopada 2013 r. dotycząca pewn</w:t>
      </w:r>
      <w:r>
        <w:rPr>
          <w:color w:val="000000"/>
        </w:rPr>
        <w:t>ych obowiązków państwa bandery w zakresie zgodności z Konwencją o pracy na morzu z 2006 r. oraz jej egzekwowania (</w:t>
      </w:r>
      <w:proofErr w:type="spellStart"/>
      <w:r>
        <w:rPr>
          <w:color w:val="000000"/>
        </w:rPr>
        <w:t>Dz.U</w:t>
      </w:r>
      <w:proofErr w:type="spellEnd"/>
      <w:r>
        <w:rPr>
          <w:color w:val="000000"/>
        </w:rPr>
        <w:t xml:space="preserve">. L 329 z 10.12.2013, s. 1); </w:t>
      </w:r>
      <w:r>
        <w:rPr>
          <w:color w:val="1B1B1B"/>
        </w:rPr>
        <w:t>dyrektywa</w:t>
      </w:r>
      <w:r>
        <w:rPr>
          <w:color w:val="000000"/>
        </w:rPr>
        <w:t xml:space="preserve"> Parlamentu Europejskiego i Rady 2009/16/WE z dnia 23 kwietnia 2009 r. w sprawie kontroli przeprowad</w:t>
      </w:r>
      <w:r>
        <w:rPr>
          <w:color w:val="000000"/>
        </w:rPr>
        <w:t>zanej przez państwo portu (</w:t>
      </w:r>
      <w:proofErr w:type="spellStart"/>
      <w:r>
        <w:rPr>
          <w:color w:val="000000"/>
        </w:rPr>
        <w:t>Dz.U</w:t>
      </w:r>
      <w:proofErr w:type="spellEnd"/>
      <w:r>
        <w:rPr>
          <w:color w:val="000000"/>
        </w:rPr>
        <w:t>. L 329 z 10.12.2013, s. 1).</w:t>
      </w:r>
    </w:p>
    <w:p w:rsidR="00DF1EB6" w:rsidRDefault="002F1DC5">
      <w:pPr>
        <w:spacing w:after="0"/>
      </w:pPr>
      <w:r>
        <w:rPr>
          <w:color w:val="000000"/>
          <w:vertAlign w:val="superscript"/>
        </w:rPr>
        <w:t>10</w:t>
      </w:r>
      <w:r>
        <w:rPr>
          <w:color w:val="000000"/>
        </w:rPr>
        <w:t> </w:t>
      </w:r>
      <w:r>
        <w:rPr>
          <w:color w:val="1B1B1B"/>
        </w:rPr>
        <w:t>Dyrektywa</w:t>
      </w:r>
      <w:r>
        <w:rPr>
          <w:color w:val="000000"/>
        </w:rPr>
        <w:t xml:space="preserve"> Parlamentu Europejskiego i Rady 2009/16/WE z dnia 23 kwietnia 2009 r. w sprawie kontroli przeprowadzanej przez państwo portu (</w:t>
      </w:r>
      <w:proofErr w:type="spellStart"/>
      <w:r>
        <w:rPr>
          <w:color w:val="000000"/>
        </w:rPr>
        <w:t>Dz.U</w:t>
      </w:r>
      <w:proofErr w:type="spellEnd"/>
      <w:r>
        <w:rPr>
          <w:color w:val="000000"/>
        </w:rPr>
        <w:t>. L 131 z 28.5.2009, s. 57).</w:t>
      </w:r>
    </w:p>
    <w:p w:rsidR="00DF1EB6" w:rsidRDefault="002F1DC5">
      <w:pPr>
        <w:spacing w:after="0"/>
      </w:pPr>
      <w:r>
        <w:rPr>
          <w:color w:val="000000"/>
          <w:vertAlign w:val="superscript"/>
        </w:rPr>
        <w:t>11</w:t>
      </w:r>
      <w:r>
        <w:rPr>
          <w:color w:val="000000"/>
        </w:rPr>
        <w:t> </w:t>
      </w:r>
      <w:r>
        <w:rPr>
          <w:color w:val="1B1B1B"/>
        </w:rPr>
        <w:t>Dyrektywa</w:t>
      </w:r>
      <w:r>
        <w:rPr>
          <w:color w:val="000000"/>
        </w:rPr>
        <w:t xml:space="preserve"> Parlamentu </w:t>
      </w:r>
      <w:r>
        <w:rPr>
          <w:color w:val="000000"/>
        </w:rPr>
        <w:t>Europejskiego i Rady 2013/30/UE z dnia 12 czerwca 2013 r. w sprawie bezpieczeństwa działalności związanej ze złożami ropy naftowej i gazu ziemnego na obszarach morskich oraz zmiany dyrektywy 2004/35/WE (</w:t>
      </w:r>
      <w:proofErr w:type="spellStart"/>
      <w:r>
        <w:rPr>
          <w:color w:val="000000"/>
        </w:rPr>
        <w:t>Dz.U</w:t>
      </w:r>
      <w:proofErr w:type="spellEnd"/>
      <w:r>
        <w:rPr>
          <w:color w:val="000000"/>
        </w:rPr>
        <w:t>. L 178 z 28.6.2013, s. 66).</w:t>
      </w:r>
    </w:p>
    <w:p w:rsidR="00DF1EB6" w:rsidRDefault="002F1DC5">
      <w:pPr>
        <w:spacing w:after="0"/>
      </w:pPr>
      <w:r>
        <w:rPr>
          <w:color w:val="000000"/>
          <w:vertAlign w:val="superscript"/>
        </w:rPr>
        <w:t>12</w:t>
      </w:r>
      <w:r>
        <w:rPr>
          <w:color w:val="000000"/>
        </w:rPr>
        <w:t> </w:t>
      </w:r>
      <w:r>
        <w:rPr>
          <w:color w:val="1B1B1B"/>
        </w:rPr>
        <w:t>Dyrektywa</w:t>
      </w:r>
      <w:r>
        <w:rPr>
          <w:color w:val="000000"/>
        </w:rPr>
        <w:t xml:space="preserve"> Rady 20</w:t>
      </w:r>
      <w:r>
        <w:rPr>
          <w:color w:val="000000"/>
        </w:rPr>
        <w:t>09/71/Euratom z dnia 25 czerwca 2009 r. ustanawiająca wspólnotowe ramy bezpieczeństwa jądrowego obiektów jądrowych (</w:t>
      </w:r>
      <w:proofErr w:type="spellStart"/>
      <w:r>
        <w:rPr>
          <w:color w:val="000000"/>
        </w:rPr>
        <w:t>Dz.U</w:t>
      </w:r>
      <w:proofErr w:type="spellEnd"/>
      <w:r>
        <w:rPr>
          <w:color w:val="000000"/>
        </w:rPr>
        <w:t>. L 172 z 2.7.2009, s. 18).</w:t>
      </w:r>
    </w:p>
    <w:p w:rsidR="00DF1EB6" w:rsidRDefault="002F1DC5">
      <w:pPr>
        <w:spacing w:after="0"/>
      </w:pPr>
      <w:r>
        <w:rPr>
          <w:color w:val="000000"/>
          <w:vertAlign w:val="superscript"/>
        </w:rPr>
        <w:t>13</w:t>
      </w:r>
      <w:r>
        <w:rPr>
          <w:color w:val="000000"/>
        </w:rPr>
        <w:t> </w:t>
      </w:r>
      <w:r>
        <w:rPr>
          <w:color w:val="1B1B1B"/>
        </w:rPr>
        <w:t>Rozporządzenie</w:t>
      </w:r>
      <w:r>
        <w:rPr>
          <w:color w:val="000000"/>
        </w:rPr>
        <w:t xml:space="preserve"> (WE) nr 178/2002 Parlamentu Europejskiego i Rady z dnia 28 stycznia 2002 r. ustanawiające </w:t>
      </w:r>
      <w:r>
        <w:rPr>
          <w:color w:val="000000"/>
        </w:rPr>
        <w:t>ogólne zasady i wymagania prawa żywnościowego, powołujące Europejski Urząd ds. Bezpieczeństwa Żywności oraz ustanawiające procedury w zakresie bezpieczeństwa żywności (</w:t>
      </w:r>
      <w:proofErr w:type="spellStart"/>
      <w:r>
        <w:rPr>
          <w:color w:val="000000"/>
        </w:rPr>
        <w:t>Dz.U</w:t>
      </w:r>
      <w:proofErr w:type="spellEnd"/>
      <w:r>
        <w:rPr>
          <w:color w:val="000000"/>
        </w:rPr>
        <w:t>. L 31 z 1.2.2002, s. 1).</w:t>
      </w:r>
    </w:p>
    <w:p w:rsidR="00DF1EB6" w:rsidRDefault="002F1DC5">
      <w:pPr>
        <w:spacing w:after="0"/>
      </w:pPr>
      <w:r>
        <w:rPr>
          <w:color w:val="000000"/>
          <w:vertAlign w:val="superscript"/>
        </w:rPr>
        <w:lastRenderedPageBreak/>
        <w:t>14</w:t>
      </w:r>
      <w:r>
        <w:rPr>
          <w:color w:val="000000"/>
        </w:rPr>
        <w:t> </w:t>
      </w:r>
      <w:r>
        <w:rPr>
          <w:color w:val="1B1B1B"/>
        </w:rPr>
        <w:t>Rozporządzenie</w:t>
      </w:r>
      <w:r>
        <w:rPr>
          <w:color w:val="000000"/>
        </w:rPr>
        <w:t xml:space="preserve"> Parlamentu Europejskiego i Rady (UE) 2016/429 z dnia 9 marca 2016 r. w sprawie przenośnych chorób zwierząt oraz zmieniające i uchylające niektóre akty w dziedzinie zdrowia zwierząt ("Prawo o zdrowiu zwierząt") (</w:t>
      </w:r>
      <w:proofErr w:type="spellStart"/>
      <w:r>
        <w:rPr>
          <w:color w:val="000000"/>
        </w:rPr>
        <w:t>Dz.U</w:t>
      </w:r>
      <w:proofErr w:type="spellEnd"/>
      <w:r>
        <w:rPr>
          <w:color w:val="000000"/>
        </w:rPr>
        <w:t>. L 84 z 31.3.2016, s. 1).</w:t>
      </w:r>
    </w:p>
    <w:p w:rsidR="00DF1EB6" w:rsidRDefault="002F1DC5">
      <w:pPr>
        <w:spacing w:after="0"/>
      </w:pPr>
      <w:r>
        <w:rPr>
          <w:color w:val="000000"/>
          <w:vertAlign w:val="superscript"/>
        </w:rPr>
        <w:t>15</w:t>
      </w:r>
      <w:r>
        <w:rPr>
          <w:color w:val="000000"/>
        </w:rPr>
        <w:t> </w:t>
      </w:r>
      <w:r>
        <w:rPr>
          <w:color w:val="1B1B1B"/>
        </w:rPr>
        <w:t>Dyrektywa</w:t>
      </w:r>
      <w:r>
        <w:rPr>
          <w:color w:val="000000"/>
        </w:rPr>
        <w:t xml:space="preserve"> </w:t>
      </w:r>
      <w:r>
        <w:rPr>
          <w:color w:val="000000"/>
        </w:rPr>
        <w:t>Rady 98/58/WE z dnia 20 lipca 1998 r. dotycząca ochrony zwierząt hodowlanych (</w:t>
      </w:r>
      <w:proofErr w:type="spellStart"/>
      <w:r>
        <w:rPr>
          <w:color w:val="000000"/>
        </w:rPr>
        <w:t>Dz.U</w:t>
      </w:r>
      <w:proofErr w:type="spellEnd"/>
      <w:r>
        <w:rPr>
          <w:color w:val="000000"/>
        </w:rPr>
        <w:t>. L 221 z 8.8.1998, s. 23).</w:t>
      </w:r>
    </w:p>
    <w:p w:rsidR="00DF1EB6" w:rsidRDefault="002F1DC5">
      <w:pPr>
        <w:spacing w:after="0"/>
      </w:pPr>
      <w:r>
        <w:rPr>
          <w:color w:val="000000"/>
          <w:vertAlign w:val="superscript"/>
        </w:rPr>
        <w:t>16</w:t>
      </w:r>
      <w:r>
        <w:rPr>
          <w:color w:val="000000"/>
        </w:rPr>
        <w:t> </w:t>
      </w:r>
      <w:r>
        <w:rPr>
          <w:color w:val="1B1B1B"/>
        </w:rPr>
        <w:t>Dyrektywa</w:t>
      </w:r>
      <w:r>
        <w:rPr>
          <w:color w:val="000000"/>
        </w:rPr>
        <w:t xml:space="preserve"> Parlamentu Europejskiego i Rady 2010/63/UE z dnia 22 września 2010 r. w sprawie ochrony zwierząt wykorzystywanych do celów naukowych </w:t>
      </w:r>
      <w:r>
        <w:rPr>
          <w:color w:val="000000"/>
        </w:rPr>
        <w:t>(</w:t>
      </w:r>
      <w:proofErr w:type="spellStart"/>
      <w:r>
        <w:rPr>
          <w:color w:val="000000"/>
        </w:rPr>
        <w:t>Dz.U</w:t>
      </w:r>
      <w:proofErr w:type="spellEnd"/>
      <w:r>
        <w:rPr>
          <w:color w:val="000000"/>
        </w:rPr>
        <w:t>. L 276 z 20.10.2010, s. 33).</w:t>
      </w:r>
    </w:p>
    <w:p w:rsidR="00DF1EB6" w:rsidRDefault="002F1DC5">
      <w:pPr>
        <w:spacing w:after="0"/>
      </w:pPr>
      <w:r>
        <w:rPr>
          <w:color w:val="000000"/>
          <w:vertAlign w:val="superscript"/>
        </w:rPr>
        <w:t>17</w:t>
      </w:r>
      <w:r>
        <w:rPr>
          <w:color w:val="000000"/>
        </w:rPr>
        <w:t> </w:t>
      </w:r>
      <w:r>
        <w:rPr>
          <w:color w:val="1B1B1B"/>
        </w:rPr>
        <w:t>Rozporządzenie</w:t>
      </w:r>
      <w:r>
        <w:rPr>
          <w:color w:val="000000"/>
        </w:rPr>
        <w:t xml:space="preserve"> Rady (WE) nr 1/2005 z dnia 22 grudnia 2004 r. w sprawie ochrony zwierząt podczas transportu i związanych z tym działań oraz zmieniające dyrektywy 64/432/EWG i 93/119/WE oraz rozporządzenie (WE) nr 1255/9</w:t>
      </w:r>
      <w:r>
        <w:rPr>
          <w:color w:val="000000"/>
        </w:rPr>
        <w:t>7 (</w:t>
      </w:r>
      <w:proofErr w:type="spellStart"/>
      <w:r>
        <w:rPr>
          <w:color w:val="000000"/>
        </w:rPr>
        <w:t>Dz.U</w:t>
      </w:r>
      <w:proofErr w:type="spellEnd"/>
      <w:r>
        <w:rPr>
          <w:color w:val="000000"/>
        </w:rPr>
        <w:t>. L 3 z 5.1.2005, s. 1).</w:t>
      </w:r>
    </w:p>
    <w:p w:rsidR="00DF1EB6" w:rsidRDefault="002F1DC5">
      <w:pPr>
        <w:spacing w:after="0"/>
      </w:pPr>
      <w:r>
        <w:rPr>
          <w:color w:val="000000"/>
          <w:vertAlign w:val="superscript"/>
        </w:rPr>
        <w:t>18</w:t>
      </w:r>
      <w:r>
        <w:rPr>
          <w:color w:val="000000"/>
        </w:rPr>
        <w:t> </w:t>
      </w:r>
      <w:r>
        <w:rPr>
          <w:color w:val="1B1B1B"/>
        </w:rPr>
        <w:t>Rozporządzenie</w:t>
      </w:r>
      <w:r>
        <w:rPr>
          <w:color w:val="000000"/>
        </w:rPr>
        <w:t xml:space="preserve"> Rady (WE) nr 1099/2009 z dnia 24 września 2009 r. w sprawie ochrony zwierząt podczas ich uśmiercania (</w:t>
      </w:r>
      <w:proofErr w:type="spellStart"/>
      <w:r>
        <w:rPr>
          <w:color w:val="000000"/>
        </w:rPr>
        <w:t>Dz.U</w:t>
      </w:r>
      <w:proofErr w:type="spellEnd"/>
      <w:r>
        <w:rPr>
          <w:color w:val="000000"/>
        </w:rPr>
        <w:t>. L 303 z 18.11.2009, s. 1).</w:t>
      </w:r>
    </w:p>
    <w:p w:rsidR="00DF1EB6" w:rsidRDefault="002F1DC5">
      <w:pPr>
        <w:spacing w:after="0"/>
      </w:pPr>
      <w:r>
        <w:rPr>
          <w:color w:val="000000"/>
          <w:vertAlign w:val="superscript"/>
        </w:rPr>
        <w:t>19</w:t>
      </w:r>
      <w:r>
        <w:rPr>
          <w:color w:val="000000"/>
        </w:rPr>
        <w:t> </w:t>
      </w:r>
      <w:r>
        <w:rPr>
          <w:color w:val="1B1B1B"/>
        </w:rPr>
        <w:t>Dyrektywa</w:t>
      </w:r>
      <w:r>
        <w:rPr>
          <w:color w:val="000000"/>
        </w:rPr>
        <w:t xml:space="preserve"> Parlamentu Europejskiego i Rady (UE) 2016/1148 z dnia 6 li</w:t>
      </w:r>
      <w:r>
        <w:rPr>
          <w:color w:val="000000"/>
        </w:rPr>
        <w:t>pca 2016 r. w sprawie środków na rzecz wysokiego wspólnego poziomu bezpieczeństwa sieci i systemów informatycznych na terytorium Unii (</w:t>
      </w:r>
      <w:proofErr w:type="spellStart"/>
      <w:r>
        <w:rPr>
          <w:color w:val="000000"/>
        </w:rPr>
        <w:t>Dz.U</w:t>
      </w:r>
      <w:proofErr w:type="spellEnd"/>
      <w:r>
        <w:rPr>
          <w:color w:val="000000"/>
        </w:rPr>
        <w:t>. L 194 z 19.7.2016, s. 1).</w:t>
      </w:r>
    </w:p>
    <w:p w:rsidR="00DF1EB6" w:rsidRDefault="002F1DC5">
      <w:pPr>
        <w:spacing w:after="0"/>
      </w:pPr>
      <w:r>
        <w:rPr>
          <w:color w:val="000000"/>
          <w:vertAlign w:val="superscript"/>
        </w:rPr>
        <w:t>20</w:t>
      </w:r>
      <w:r>
        <w:rPr>
          <w:color w:val="000000"/>
        </w:rPr>
        <w:t> </w:t>
      </w:r>
      <w:r>
        <w:rPr>
          <w:color w:val="1B1B1B"/>
        </w:rPr>
        <w:t>Rozporządzenie</w:t>
      </w:r>
      <w:r>
        <w:rPr>
          <w:color w:val="000000"/>
        </w:rPr>
        <w:t xml:space="preserve"> Rady (WE, Euratom) nr 2988/95 z dnia 18 grudnia 1995 r. w sprawie ochro</w:t>
      </w:r>
      <w:r>
        <w:rPr>
          <w:color w:val="000000"/>
        </w:rPr>
        <w:t>ny interesów finansowych Wspólnot Europejskich (</w:t>
      </w:r>
      <w:proofErr w:type="spellStart"/>
      <w:r>
        <w:rPr>
          <w:color w:val="000000"/>
        </w:rPr>
        <w:t>Dz.U</w:t>
      </w:r>
      <w:proofErr w:type="spellEnd"/>
      <w:r>
        <w:rPr>
          <w:color w:val="000000"/>
        </w:rPr>
        <w:t>. L 312 z 23.12.1995, s. 1).</w:t>
      </w:r>
    </w:p>
    <w:p w:rsidR="00DF1EB6" w:rsidRDefault="002F1DC5">
      <w:pPr>
        <w:spacing w:after="0"/>
      </w:pPr>
      <w:r>
        <w:rPr>
          <w:color w:val="000000"/>
          <w:vertAlign w:val="superscript"/>
        </w:rPr>
        <w:t>21</w:t>
      </w:r>
      <w:r>
        <w:rPr>
          <w:color w:val="000000"/>
        </w:rPr>
        <w:t> </w:t>
      </w:r>
      <w:r>
        <w:rPr>
          <w:color w:val="1B1B1B"/>
        </w:rPr>
        <w:t>Rozporządzenie</w:t>
      </w:r>
      <w:r>
        <w:rPr>
          <w:color w:val="000000"/>
        </w:rPr>
        <w:t xml:space="preserve"> Parlamentu Europejskiego i Rady (UE, Euratom) nr 883/2013 z dnia 11 września 2013 r. dotyczące dochodzeń prowadzonych przez Europejski Urząd ds. Zwalczania N</w:t>
      </w:r>
      <w:r>
        <w:rPr>
          <w:color w:val="000000"/>
        </w:rPr>
        <w:t>adużyć Finansowych (OLAF) oraz uchylające rozporządzenie (WE) nr 1073/1999 Parlamentu Europejskiego i Rady i rozporządzenie Rady (Euratom) nr 1074/1999 (</w:t>
      </w:r>
      <w:proofErr w:type="spellStart"/>
      <w:r>
        <w:rPr>
          <w:color w:val="000000"/>
        </w:rPr>
        <w:t>Dz.U</w:t>
      </w:r>
      <w:proofErr w:type="spellEnd"/>
      <w:r>
        <w:rPr>
          <w:color w:val="000000"/>
        </w:rPr>
        <w:t>. L 248 z 18.9.2013, s. 1).</w:t>
      </w:r>
    </w:p>
    <w:p w:rsidR="00DF1EB6" w:rsidRDefault="002F1DC5">
      <w:pPr>
        <w:spacing w:after="0"/>
      </w:pPr>
      <w:r>
        <w:rPr>
          <w:color w:val="000000"/>
          <w:vertAlign w:val="superscript"/>
        </w:rPr>
        <w:t>22</w:t>
      </w:r>
      <w:r>
        <w:rPr>
          <w:color w:val="000000"/>
        </w:rPr>
        <w:t> </w:t>
      </w:r>
      <w:r>
        <w:rPr>
          <w:color w:val="1B1B1B"/>
        </w:rPr>
        <w:t>Dyrektywa</w:t>
      </w:r>
      <w:r>
        <w:rPr>
          <w:color w:val="000000"/>
        </w:rPr>
        <w:t xml:space="preserve"> Parlamentu Europejskiego i Rady (UE) 2017/1371 z dnia 5 li</w:t>
      </w:r>
      <w:r>
        <w:rPr>
          <w:color w:val="000000"/>
        </w:rPr>
        <w:t>pca 2017 r. w sprawie zwalczania za pośrednictwem prawa karnego nadużyć na szkodę interesów finansowych Unii (</w:t>
      </w:r>
      <w:proofErr w:type="spellStart"/>
      <w:r>
        <w:rPr>
          <w:color w:val="000000"/>
        </w:rPr>
        <w:t>Dz.U</w:t>
      </w:r>
      <w:proofErr w:type="spellEnd"/>
      <w:r>
        <w:rPr>
          <w:color w:val="000000"/>
        </w:rPr>
        <w:t>. L 198 z 28.7.2017, s. 29).</w:t>
      </w:r>
    </w:p>
    <w:p w:rsidR="00DF1EB6" w:rsidRDefault="002F1DC5">
      <w:pPr>
        <w:spacing w:after="0"/>
      </w:pPr>
      <w:r>
        <w:rPr>
          <w:color w:val="000000"/>
          <w:vertAlign w:val="superscript"/>
        </w:rPr>
        <w:t>23</w:t>
      </w:r>
      <w:r>
        <w:rPr>
          <w:color w:val="000000"/>
        </w:rPr>
        <w:t> </w:t>
      </w:r>
      <w:proofErr w:type="spellStart"/>
      <w:r>
        <w:rPr>
          <w:color w:val="000000"/>
        </w:rPr>
        <w:t>Dz.U</w:t>
      </w:r>
      <w:proofErr w:type="spellEnd"/>
      <w:r>
        <w:rPr>
          <w:color w:val="000000"/>
        </w:rPr>
        <w:t>. C 316 z 27.11.1995, s. 49.</w:t>
      </w:r>
    </w:p>
    <w:p w:rsidR="00DF1EB6" w:rsidRDefault="002F1DC5">
      <w:pPr>
        <w:spacing w:after="0"/>
      </w:pPr>
      <w:r>
        <w:rPr>
          <w:color w:val="000000"/>
          <w:vertAlign w:val="superscript"/>
        </w:rPr>
        <w:t>24</w:t>
      </w:r>
      <w:r>
        <w:rPr>
          <w:color w:val="000000"/>
        </w:rPr>
        <w:t> </w:t>
      </w:r>
      <w:proofErr w:type="spellStart"/>
      <w:r>
        <w:rPr>
          <w:color w:val="000000"/>
        </w:rPr>
        <w:t>Dz.U</w:t>
      </w:r>
      <w:proofErr w:type="spellEnd"/>
      <w:r>
        <w:rPr>
          <w:color w:val="000000"/>
        </w:rPr>
        <w:t>. C 313 z 23.10.1996, s. 2.</w:t>
      </w:r>
    </w:p>
    <w:p w:rsidR="00DF1EB6" w:rsidRDefault="002F1DC5">
      <w:pPr>
        <w:spacing w:after="0"/>
      </w:pPr>
      <w:r>
        <w:rPr>
          <w:color w:val="000000"/>
          <w:vertAlign w:val="superscript"/>
        </w:rPr>
        <w:t>25</w:t>
      </w:r>
      <w:r>
        <w:rPr>
          <w:color w:val="000000"/>
        </w:rPr>
        <w:t> </w:t>
      </w:r>
      <w:proofErr w:type="spellStart"/>
      <w:r>
        <w:rPr>
          <w:color w:val="000000"/>
        </w:rPr>
        <w:t>Dz.U</w:t>
      </w:r>
      <w:proofErr w:type="spellEnd"/>
      <w:r>
        <w:rPr>
          <w:color w:val="000000"/>
        </w:rPr>
        <w:t>. C 151 z 20.5.1997, s. 2.</w:t>
      </w:r>
    </w:p>
    <w:p w:rsidR="00DF1EB6" w:rsidRDefault="002F1DC5">
      <w:pPr>
        <w:spacing w:after="0"/>
      </w:pPr>
      <w:r>
        <w:rPr>
          <w:color w:val="000000"/>
          <w:vertAlign w:val="superscript"/>
        </w:rPr>
        <w:t>26</w:t>
      </w:r>
      <w:r>
        <w:rPr>
          <w:color w:val="000000"/>
        </w:rPr>
        <w:t> </w:t>
      </w:r>
      <w:proofErr w:type="spellStart"/>
      <w:r>
        <w:rPr>
          <w:color w:val="000000"/>
        </w:rPr>
        <w:t>Dz.U</w:t>
      </w:r>
      <w:proofErr w:type="spellEnd"/>
      <w:r>
        <w:rPr>
          <w:color w:val="000000"/>
        </w:rPr>
        <w:t>.</w:t>
      </w:r>
      <w:r>
        <w:rPr>
          <w:color w:val="000000"/>
        </w:rPr>
        <w:t xml:space="preserve"> C 221 z 19.7.1997, s. 2.</w:t>
      </w:r>
    </w:p>
    <w:p w:rsidR="00DF1EB6" w:rsidRDefault="002F1DC5">
      <w:pPr>
        <w:spacing w:after="0"/>
      </w:pPr>
      <w:r>
        <w:rPr>
          <w:color w:val="000000"/>
          <w:vertAlign w:val="superscript"/>
        </w:rPr>
        <w:t>27</w:t>
      </w:r>
      <w:r>
        <w:rPr>
          <w:color w:val="000000"/>
        </w:rPr>
        <w:t> </w:t>
      </w:r>
      <w:r>
        <w:rPr>
          <w:color w:val="1B1B1B"/>
        </w:rPr>
        <w:t>Rozporządzenie</w:t>
      </w:r>
      <w:r>
        <w:rPr>
          <w:color w:val="000000"/>
        </w:rPr>
        <w:t xml:space="preserve"> Komisji (WE) nr 773/2004 z dnia 7 kwietnia 2004 r. odnoszące się do prowadzenia przez Komisję postępowań zgodnie z art. 81 i art. 82 Traktatu WE (</w:t>
      </w:r>
      <w:proofErr w:type="spellStart"/>
      <w:r>
        <w:rPr>
          <w:color w:val="000000"/>
        </w:rPr>
        <w:t>Dz.U</w:t>
      </w:r>
      <w:proofErr w:type="spellEnd"/>
      <w:r>
        <w:rPr>
          <w:color w:val="000000"/>
        </w:rPr>
        <w:t>. L 123 z 27.4.2004, s. 18).</w:t>
      </w:r>
    </w:p>
    <w:p w:rsidR="00DF1EB6" w:rsidRDefault="002F1DC5">
      <w:pPr>
        <w:spacing w:after="0"/>
      </w:pPr>
      <w:r>
        <w:rPr>
          <w:color w:val="000000"/>
          <w:vertAlign w:val="superscript"/>
        </w:rPr>
        <w:t>28</w:t>
      </w:r>
      <w:r>
        <w:rPr>
          <w:color w:val="000000"/>
        </w:rPr>
        <w:t> </w:t>
      </w:r>
      <w:r>
        <w:rPr>
          <w:color w:val="1B1B1B"/>
        </w:rPr>
        <w:t>Rozporządzenie</w:t>
      </w:r>
      <w:r>
        <w:rPr>
          <w:color w:val="000000"/>
        </w:rPr>
        <w:t xml:space="preserve"> Parlamentu Euro</w:t>
      </w:r>
      <w:r>
        <w:rPr>
          <w:color w:val="000000"/>
        </w:rPr>
        <w:t>pejskiego i Rady (UE) nr 596/2014 z dnia 16 kwietnia 2014 r. w sprawie nadużyć na rynku (rozporządzenie w sprawie nadużyć na rynku) oraz uchylające dyrektywę 2003/6/WE Parlamentu Europejskiego i Rady i dyrektywy Komisji 2003/124/WE, 2003/125/WE i 2004/72/W</w:t>
      </w:r>
      <w:r>
        <w:rPr>
          <w:color w:val="000000"/>
        </w:rPr>
        <w:t>E (</w:t>
      </w:r>
      <w:proofErr w:type="spellStart"/>
      <w:r>
        <w:rPr>
          <w:color w:val="000000"/>
        </w:rPr>
        <w:t>Dz.U</w:t>
      </w:r>
      <w:proofErr w:type="spellEnd"/>
      <w:r>
        <w:rPr>
          <w:color w:val="000000"/>
        </w:rPr>
        <w:t>. L 173 z 12.6.2014, s. 1).</w:t>
      </w:r>
    </w:p>
    <w:p w:rsidR="00DF1EB6" w:rsidRDefault="002F1DC5">
      <w:pPr>
        <w:spacing w:after="0"/>
      </w:pPr>
      <w:r>
        <w:rPr>
          <w:color w:val="000000"/>
          <w:vertAlign w:val="superscript"/>
        </w:rPr>
        <w:t>29</w:t>
      </w:r>
      <w:r>
        <w:rPr>
          <w:color w:val="000000"/>
        </w:rPr>
        <w:t> </w:t>
      </w:r>
      <w:r>
        <w:rPr>
          <w:color w:val="1B1B1B"/>
        </w:rPr>
        <w:t>Dyrektywa</w:t>
      </w:r>
      <w:r>
        <w:rPr>
          <w:color w:val="000000"/>
        </w:rPr>
        <w:t xml:space="preserve"> wykonawcza Komisji (UE) 2015/2392 z dnia 17 grudnia 2015 r. w sprawie rozporządzenia Parlamentu Europejskiego i Rady (UE) nr 596/2014 w odniesieniu do zgłaszania właściwym organom rzeczywistych lub potencjaln</w:t>
      </w:r>
      <w:r>
        <w:rPr>
          <w:color w:val="000000"/>
        </w:rPr>
        <w:t>ych naruszeń tego rozporządzenia (</w:t>
      </w:r>
      <w:proofErr w:type="spellStart"/>
      <w:r>
        <w:rPr>
          <w:color w:val="000000"/>
        </w:rPr>
        <w:t>Dz.U</w:t>
      </w:r>
      <w:proofErr w:type="spellEnd"/>
      <w:r>
        <w:rPr>
          <w:color w:val="000000"/>
        </w:rPr>
        <w:t>. L 332 z 18.12.2015, s. 126).</w:t>
      </w:r>
    </w:p>
    <w:p w:rsidR="00DF1EB6" w:rsidRDefault="002F1DC5">
      <w:pPr>
        <w:spacing w:after="0"/>
      </w:pPr>
      <w:r>
        <w:rPr>
          <w:color w:val="000000"/>
          <w:vertAlign w:val="superscript"/>
        </w:rPr>
        <w:t>30</w:t>
      </w:r>
      <w:r>
        <w:rPr>
          <w:color w:val="000000"/>
        </w:rPr>
        <w:t> </w:t>
      </w:r>
      <w:r>
        <w:rPr>
          <w:color w:val="1B1B1B"/>
        </w:rPr>
        <w:t>Rozporządzenie</w:t>
      </w:r>
      <w:r>
        <w:rPr>
          <w:color w:val="000000"/>
        </w:rPr>
        <w:t xml:space="preserve"> Parlamentu Europejskiego i Rady (UE) nr 1286/2014 z dnia 26 listopada 2014 r. w sprawie dokumentów zawierających kluczowe informacje, dotyczących </w:t>
      </w:r>
      <w:r>
        <w:rPr>
          <w:color w:val="000000"/>
        </w:rPr>
        <w:lastRenderedPageBreak/>
        <w:t xml:space="preserve">detalicznych produktów </w:t>
      </w:r>
      <w:r>
        <w:rPr>
          <w:color w:val="000000"/>
        </w:rPr>
        <w:t>zbiorowego inwestowania i ubezpieczeniowych produktów inwestycyjnych (PRIIP) (</w:t>
      </w:r>
      <w:proofErr w:type="spellStart"/>
      <w:r>
        <w:rPr>
          <w:color w:val="000000"/>
        </w:rPr>
        <w:t>Dz.U</w:t>
      </w:r>
      <w:proofErr w:type="spellEnd"/>
      <w:r>
        <w:rPr>
          <w:color w:val="000000"/>
        </w:rPr>
        <w:t>. L 352 z 9.12.2014, s. 1).</w:t>
      </w:r>
    </w:p>
    <w:p w:rsidR="00DF1EB6" w:rsidRDefault="002F1DC5">
      <w:pPr>
        <w:spacing w:after="0"/>
      </w:pPr>
      <w:r>
        <w:rPr>
          <w:color w:val="000000"/>
          <w:vertAlign w:val="superscript"/>
        </w:rPr>
        <w:t>31</w:t>
      </w:r>
      <w:r>
        <w:rPr>
          <w:color w:val="000000"/>
        </w:rPr>
        <w:t> </w:t>
      </w:r>
      <w:r>
        <w:rPr>
          <w:color w:val="1B1B1B"/>
        </w:rPr>
        <w:t>Dyrektywa</w:t>
      </w:r>
      <w:r>
        <w:rPr>
          <w:color w:val="000000"/>
        </w:rPr>
        <w:t xml:space="preserve"> Rady 89/391/EWG z dnia 12 czerwca 1989 r. w sprawie wprowadzenia środków w celu poprawy bezpieczeństwa i zdrowia pracowników w miejsc</w:t>
      </w:r>
      <w:r>
        <w:rPr>
          <w:color w:val="000000"/>
        </w:rPr>
        <w:t>u pracy (</w:t>
      </w:r>
      <w:proofErr w:type="spellStart"/>
      <w:r>
        <w:rPr>
          <w:color w:val="000000"/>
        </w:rPr>
        <w:t>Dz.U</w:t>
      </w:r>
      <w:proofErr w:type="spellEnd"/>
      <w:r>
        <w:rPr>
          <w:color w:val="000000"/>
        </w:rPr>
        <w:t>. L 183 z 29.6.1989, s. 1).</w:t>
      </w:r>
    </w:p>
    <w:p w:rsidR="00DF1EB6" w:rsidRDefault="002F1DC5">
      <w:pPr>
        <w:spacing w:after="0"/>
      </w:pPr>
      <w:r>
        <w:rPr>
          <w:color w:val="000000"/>
          <w:vertAlign w:val="superscript"/>
        </w:rPr>
        <w:t>32</w:t>
      </w:r>
      <w:r>
        <w:rPr>
          <w:color w:val="000000"/>
        </w:rPr>
        <w:t> </w:t>
      </w:r>
      <w:proofErr w:type="spellStart"/>
      <w:r>
        <w:rPr>
          <w:color w:val="000000"/>
        </w:rPr>
        <w:t>Dz.U</w:t>
      </w:r>
      <w:proofErr w:type="spellEnd"/>
      <w:r>
        <w:rPr>
          <w:color w:val="000000"/>
        </w:rPr>
        <w:t>. L 56 z 4.3.1968, s. 1.</w:t>
      </w:r>
    </w:p>
    <w:p w:rsidR="00DF1EB6" w:rsidRDefault="002F1DC5">
      <w:pPr>
        <w:spacing w:after="0"/>
      </w:pPr>
      <w:r>
        <w:rPr>
          <w:color w:val="000000"/>
          <w:vertAlign w:val="superscript"/>
        </w:rPr>
        <w:t>33</w:t>
      </w:r>
      <w:r>
        <w:rPr>
          <w:color w:val="000000"/>
        </w:rPr>
        <w:t> </w:t>
      </w:r>
      <w:r>
        <w:rPr>
          <w:color w:val="1B1B1B"/>
        </w:rPr>
        <w:t>Decyzja</w:t>
      </w:r>
      <w:r>
        <w:rPr>
          <w:color w:val="000000"/>
        </w:rPr>
        <w:t xml:space="preserve"> Rady 2013/488/UE z dnia 23 września 2013 r. w sprawie przepisów bezpieczeństwa dotyczących ochrony informacji niejawnych UE (</w:t>
      </w:r>
      <w:proofErr w:type="spellStart"/>
      <w:r>
        <w:rPr>
          <w:color w:val="000000"/>
        </w:rPr>
        <w:t>Dz.U</w:t>
      </w:r>
      <w:proofErr w:type="spellEnd"/>
      <w:r>
        <w:rPr>
          <w:color w:val="000000"/>
        </w:rPr>
        <w:t>. L 274 z 15.10.2013, s. 1).</w:t>
      </w:r>
    </w:p>
    <w:p w:rsidR="00DF1EB6" w:rsidRDefault="002F1DC5">
      <w:pPr>
        <w:spacing w:after="0"/>
      </w:pPr>
      <w:r>
        <w:rPr>
          <w:color w:val="000000"/>
          <w:vertAlign w:val="superscript"/>
        </w:rPr>
        <w:t>34</w:t>
      </w:r>
      <w:r>
        <w:rPr>
          <w:color w:val="000000"/>
        </w:rPr>
        <w:t> </w:t>
      </w:r>
      <w:r>
        <w:rPr>
          <w:color w:val="1B1B1B"/>
        </w:rPr>
        <w:t>Decyzja</w:t>
      </w:r>
      <w:r>
        <w:rPr>
          <w:color w:val="000000"/>
        </w:rPr>
        <w:t xml:space="preserve"> Komisji (UE, Euratom) 2015/444 z dnia 13 marca 2015 r. w sprawie przepisów bezpieczeństwa dotyczących ochrony informacji niejawnych UE (</w:t>
      </w:r>
      <w:proofErr w:type="spellStart"/>
      <w:r>
        <w:rPr>
          <w:color w:val="000000"/>
        </w:rPr>
        <w:t>Dz.U</w:t>
      </w:r>
      <w:proofErr w:type="spellEnd"/>
      <w:r>
        <w:rPr>
          <w:color w:val="000000"/>
        </w:rPr>
        <w:t>. L 72 z 17.3.2015, s. 53).</w:t>
      </w:r>
    </w:p>
    <w:p w:rsidR="00DF1EB6" w:rsidRDefault="002F1DC5">
      <w:pPr>
        <w:spacing w:after="0"/>
      </w:pPr>
      <w:r>
        <w:rPr>
          <w:color w:val="000000"/>
          <w:vertAlign w:val="superscript"/>
        </w:rPr>
        <w:t>35</w:t>
      </w:r>
      <w:r>
        <w:rPr>
          <w:color w:val="000000"/>
        </w:rPr>
        <w:t> </w:t>
      </w:r>
      <w:r>
        <w:rPr>
          <w:color w:val="1B1B1B"/>
        </w:rPr>
        <w:t>Rozporządzenie</w:t>
      </w:r>
      <w:r>
        <w:rPr>
          <w:color w:val="000000"/>
        </w:rPr>
        <w:t xml:space="preserve"> Rady (WE) nr 1/2003 z dnia 16 grudnia 2002 r. w sprawie wprowadzenia </w:t>
      </w:r>
      <w:r>
        <w:rPr>
          <w:color w:val="000000"/>
        </w:rPr>
        <w:t>w życie reguł konkurencji ustanowionych w art. 81 i 82 Traktatu (</w:t>
      </w:r>
      <w:proofErr w:type="spellStart"/>
      <w:r>
        <w:rPr>
          <w:color w:val="000000"/>
        </w:rPr>
        <w:t>Dz.U</w:t>
      </w:r>
      <w:proofErr w:type="spellEnd"/>
      <w:r>
        <w:rPr>
          <w:color w:val="000000"/>
        </w:rPr>
        <w:t>. L 1 z 4.1.2003, s. 1).</w:t>
      </w:r>
    </w:p>
    <w:p w:rsidR="00DF1EB6" w:rsidRDefault="002F1DC5">
      <w:pPr>
        <w:spacing w:after="0"/>
      </w:pPr>
      <w:r>
        <w:rPr>
          <w:color w:val="000000"/>
          <w:vertAlign w:val="superscript"/>
        </w:rPr>
        <w:t>36</w:t>
      </w:r>
      <w:r>
        <w:rPr>
          <w:color w:val="000000"/>
        </w:rPr>
        <w:t> </w:t>
      </w:r>
      <w:r>
        <w:rPr>
          <w:color w:val="1B1B1B"/>
        </w:rPr>
        <w:t>Decyzja</w:t>
      </w:r>
      <w:r>
        <w:rPr>
          <w:color w:val="000000"/>
        </w:rPr>
        <w:t xml:space="preserve"> wykonawcza Komisji (UE) 2015/1918 z dnia 22 października 2015 r. ustanawiająca system pomocy i współpracy administracyjnej na podstawie rozporządzenia </w:t>
      </w:r>
      <w:r>
        <w:rPr>
          <w:color w:val="000000"/>
        </w:rPr>
        <w:t>(WE) nr 882/2004 Parlamentu Europejskiego i Rady w sprawie kontroli urzędowych przeprowadzanych w celu sprawdzenia zgodności z prawem paszowym i żywnościowym oraz regułami dotyczącymi zdrowia zwierząt i dobrostanu zwierząt (</w:t>
      </w:r>
      <w:proofErr w:type="spellStart"/>
      <w:r>
        <w:rPr>
          <w:color w:val="000000"/>
        </w:rPr>
        <w:t>Dz.U</w:t>
      </w:r>
      <w:proofErr w:type="spellEnd"/>
      <w:r>
        <w:rPr>
          <w:color w:val="000000"/>
        </w:rPr>
        <w:t>. L 280 z 24.10.2015, s. 31)</w:t>
      </w:r>
      <w:r>
        <w:rPr>
          <w:color w:val="000000"/>
        </w:rPr>
        <w:t>.</w:t>
      </w:r>
    </w:p>
    <w:p w:rsidR="00DF1EB6" w:rsidRDefault="002F1DC5">
      <w:pPr>
        <w:spacing w:after="0"/>
      </w:pPr>
      <w:r>
        <w:rPr>
          <w:color w:val="000000"/>
          <w:vertAlign w:val="superscript"/>
        </w:rPr>
        <w:t>37</w:t>
      </w:r>
      <w:r>
        <w:rPr>
          <w:color w:val="000000"/>
        </w:rPr>
        <w:t> </w:t>
      </w:r>
      <w:r>
        <w:rPr>
          <w:color w:val="1B1B1B"/>
        </w:rPr>
        <w:t>Rozporządzenie</w:t>
      </w:r>
      <w:r>
        <w:rPr>
          <w:color w:val="000000"/>
        </w:rPr>
        <w:t xml:space="preserve"> (WE) nr 882/2004 Parlamentu Europejskiego i Rady z dnia 29 kwietnia 2004 r. w sprawie kontroli urzędowych przeprowadzanych w celu sprawdzenia zgodności z prawem paszowym i żywnościowym oraz regułami dotyczącymi zdrowia zwierząt i dobros</w:t>
      </w:r>
      <w:r>
        <w:rPr>
          <w:color w:val="000000"/>
        </w:rPr>
        <w:t>tanu zwierząt (</w:t>
      </w:r>
      <w:proofErr w:type="spellStart"/>
      <w:r>
        <w:rPr>
          <w:color w:val="000000"/>
        </w:rPr>
        <w:t>Dz.U</w:t>
      </w:r>
      <w:proofErr w:type="spellEnd"/>
      <w:r>
        <w:rPr>
          <w:color w:val="000000"/>
        </w:rPr>
        <w:t>. L 165 z 30.4.2004, s. 1).</w:t>
      </w:r>
    </w:p>
    <w:p w:rsidR="00DF1EB6" w:rsidRDefault="002F1DC5">
      <w:pPr>
        <w:spacing w:after="0"/>
      </w:pPr>
      <w:r>
        <w:rPr>
          <w:color w:val="000000"/>
          <w:vertAlign w:val="superscript"/>
        </w:rPr>
        <w:t>38</w:t>
      </w:r>
      <w:r>
        <w:rPr>
          <w:color w:val="000000"/>
        </w:rPr>
        <w:t> </w:t>
      </w:r>
      <w:r>
        <w:rPr>
          <w:color w:val="1B1B1B"/>
        </w:rPr>
        <w:t>Rozporządzenie</w:t>
      </w:r>
      <w:r>
        <w:rPr>
          <w:color w:val="000000"/>
        </w:rPr>
        <w:t xml:space="preserve"> (WE) nr 178/2002 Parlamentu Europejskiego i Rady z dnia 28 stycznia 2002 r. ustanawiające ogólne zasady i wymagania prawa żywnościowego, powołujące Europejski Urząd ds. Bezpieczeństwa Żywnośc</w:t>
      </w:r>
      <w:r>
        <w:rPr>
          <w:color w:val="000000"/>
        </w:rPr>
        <w:t>i oraz ustanawiające procedury w zakresie bezpieczeństwa żywności (</w:t>
      </w:r>
      <w:proofErr w:type="spellStart"/>
      <w:r>
        <w:rPr>
          <w:color w:val="000000"/>
        </w:rPr>
        <w:t>Dz.U</w:t>
      </w:r>
      <w:proofErr w:type="spellEnd"/>
      <w:r>
        <w:rPr>
          <w:color w:val="000000"/>
        </w:rPr>
        <w:t>. L 31 z 1.2.2002, s. 1).</w:t>
      </w:r>
    </w:p>
    <w:p w:rsidR="00DF1EB6" w:rsidRDefault="002F1DC5">
      <w:pPr>
        <w:spacing w:after="0"/>
      </w:pPr>
      <w:r>
        <w:rPr>
          <w:color w:val="000000"/>
          <w:vertAlign w:val="superscript"/>
        </w:rPr>
        <w:t>39</w:t>
      </w:r>
      <w:r>
        <w:rPr>
          <w:color w:val="000000"/>
        </w:rPr>
        <w:t> </w:t>
      </w:r>
      <w:r>
        <w:rPr>
          <w:color w:val="1B1B1B"/>
        </w:rPr>
        <w:t>Rozporządzenie</w:t>
      </w:r>
      <w:r>
        <w:rPr>
          <w:color w:val="000000"/>
        </w:rPr>
        <w:t xml:space="preserve"> (WE) nr 2006/2004 Parlamentu Europejskiego i Rady z dnia 27 października 2004 r. w sprawie współpracy między organami krajowymi odpowiedzialn</w:t>
      </w:r>
      <w:r>
        <w:rPr>
          <w:color w:val="000000"/>
        </w:rPr>
        <w:t>ymi za egzekwowanie przepisów prawa w zakresie ochrony konsumentów ("Rozporządzenie w sprawie współpracy w dziedzinie ochrony konsumentów") (</w:t>
      </w:r>
      <w:proofErr w:type="spellStart"/>
      <w:r>
        <w:rPr>
          <w:color w:val="000000"/>
        </w:rPr>
        <w:t>Dz.U</w:t>
      </w:r>
      <w:proofErr w:type="spellEnd"/>
      <w:r>
        <w:rPr>
          <w:color w:val="000000"/>
        </w:rPr>
        <w:t>. L 364 z 9.12.2004, s. 1).</w:t>
      </w:r>
    </w:p>
    <w:p w:rsidR="00DF1EB6" w:rsidRDefault="002F1DC5">
      <w:pPr>
        <w:spacing w:after="0"/>
      </w:pPr>
      <w:r>
        <w:rPr>
          <w:color w:val="000000"/>
          <w:vertAlign w:val="superscript"/>
        </w:rPr>
        <w:t>40</w:t>
      </w:r>
      <w:r>
        <w:rPr>
          <w:color w:val="000000"/>
        </w:rPr>
        <w:t> </w:t>
      </w:r>
      <w:r>
        <w:rPr>
          <w:color w:val="1B1B1B"/>
        </w:rPr>
        <w:t>Decyzja</w:t>
      </w:r>
      <w:r>
        <w:rPr>
          <w:color w:val="000000"/>
        </w:rPr>
        <w:t xml:space="preserve"> Komisji z dnia 18 stycznia 2018 r. ustanawiająca grupę ekspertów ds. prz</w:t>
      </w:r>
      <w:r>
        <w:rPr>
          <w:color w:val="000000"/>
        </w:rPr>
        <w:t>estrzegania prawa ochrony środowiska i zarządzania środowiskiem (</w:t>
      </w:r>
      <w:proofErr w:type="spellStart"/>
      <w:r>
        <w:rPr>
          <w:color w:val="000000"/>
        </w:rPr>
        <w:t>Dz.U</w:t>
      </w:r>
      <w:proofErr w:type="spellEnd"/>
      <w:r>
        <w:rPr>
          <w:color w:val="000000"/>
        </w:rPr>
        <w:t>. C 19 z 19.1.2018, s. 3).</w:t>
      </w:r>
    </w:p>
    <w:p w:rsidR="00DF1EB6" w:rsidRDefault="002F1DC5">
      <w:pPr>
        <w:spacing w:after="0"/>
      </w:pPr>
      <w:r>
        <w:rPr>
          <w:color w:val="000000"/>
          <w:vertAlign w:val="superscript"/>
        </w:rPr>
        <w:t>41</w:t>
      </w:r>
      <w:r>
        <w:rPr>
          <w:color w:val="000000"/>
        </w:rPr>
        <w:t> </w:t>
      </w:r>
      <w:r>
        <w:rPr>
          <w:color w:val="1B1B1B"/>
        </w:rPr>
        <w:t>Dyrektywa</w:t>
      </w:r>
      <w:r>
        <w:rPr>
          <w:color w:val="000000"/>
        </w:rPr>
        <w:t xml:space="preserve"> Rady 2011/16/UE z dnia 15 lutego 2011 r. w sprawie współpracy administracyjnej w dziedzinie opodatkowania i uchylająca dyrektywę 77/799/EWG (</w:t>
      </w:r>
      <w:proofErr w:type="spellStart"/>
      <w:r>
        <w:rPr>
          <w:color w:val="000000"/>
        </w:rPr>
        <w:t>Dz.U</w:t>
      </w:r>
      <w:proofErr w:type="spellEnd"/>
      <w:r>
        <w:rPr>
          <w:color w:val="000000"/>
        </w:rPr>
        <w:t xml:space="preserve">. </w:t>
      </w:r>
      <w:r>
        <w:rPr>
          <w:color w:val="000000"/>
        </w:rPr>
        <w:t>L 64 z 11.3.2011, s. 1).</w:t>
      </w:r>
    </w:p>
    <w:p w:rsidR="00DF1EB6" w:rsidRDefault="002F1DC5">
      <w:pPr>
        <w:spacing w:after="0"/>
      </w:pPr>
      <w:r>
        <w:rPr>
          <w:color w:val="000000"/>
          <w:vertAlign w:val="superscript"/>
        </w:rPr>
        <w:t>42</w:t>
      </w:r>
      <w:r>
        <w:rPr>
          <w:color w:val="000000"/>
        </w:rPr>
        <w:t> </w:t>
      </w:r>
      <w:r>
        <w:rPr>
          <w:color w:val="1B1B1B"/>
        </w:rPr>
        <w:t>Dyrektywa</w:t>
      </w:r>
      <w:r>
        <w:rPr>
          <w:color w:val="000000"/>
        </w:rPr>
        <w:t xml:space="preserve"> Parlamentu Europejskiego i Rady 2012/13/UE z dnia 22 maja 2012 r. w sprawie prawa do informacji w postępowaniu karnym (</w:t>
      </w:r>
      <w:proofErr w:type="spellStart"/>
      <w:r>
        <w:rPr>
          <w:color w:val="000000"/>
        </w:rPr>
        <w:t>Dz.U</w:t>
      </w:r>
      <w:proofErr w:type="spellEnd"/>
      <w:r>
        <w:rPr>
          <w:color w:val="000000"/>
        </w:rPr>
        <w:t>. L 142 z 1.6.2012, s. 1).</w:t>
      </w:r>
    </w:p>
    <w:p w:rsidR="00DF1EB6" w:rsidRDefault="002F1DC5">
      <w:pPr>
        <w:spacing w:after="0"/>
      </w:pPr>
      <w:r>
        <w:rPr>
          <w:color w:val="000000"/>
          <w:vertAlign w:val="superscript"/>
        </w:rPr>
        <w:t>43</w:t>
      </w:r>
      <w:r>
        <w:rPr>
          <w:color w:val="000000"/>
        </w:rPr>
        <w:t> </w:t>
      </w:r>
      <w:r>
        <w:rPr>
          <w:color w:val="1B1B1B"/>
        </w:rPr>
        <w:t>Rozporządzenie</w:t>
      </w:r>
      <w:r>
        <w:rPr>
          <w:color w:val="000000"/>
        </w:rPr>
        <w:t xml:space="preserve"> Parlamentu Europejskiego i Rady (UE) 2016/679 z dn</w:t>
      </w:r>
      <w:r>
        <w:rPr>
          <w:color w:val="000000"/>
        </w:rPr>
        <w:t>ia 27 kwietnia 2016 r. w sprawie ochrony osób fizycznych w związku z przetwarzaniem danych osobowych i w sprawie swobodnego przepływu takich danych oraz uchylenia dyrektywy 95/46/WE (ogólne rozporządzenie o ochronie danych) (</w:t>
      </w:r>
      <w:proofErr w:type="spellStart"/>
      <w:r>
        <w:rPr>
          <w:color w:val="000000"/>
        </w:rPr>
        <w:t>Dz.U</w:t>
      </w:r>
      <w:proofErr w:type="spellEnd"/>
      <w:r>
        <w:rPr>
          <w:color w:val="000000"/>
        </w:rPr>
        <w:t>. L 119 z 4.5.2016, s. 1).</w:t>
      </w:r>
    </w:p>
    <w:p w:rsidR="00DF1EB6" w:rsidRDefault="002F1DC5">
      <w:pPr>
        <w:spacing w:after="0"/>
      </w:pPr>
      <w:r>
        <w:rPr>
          <w:color w:val="000000"/>
          <w:vertAlign w:val="superscript"/>
        </w:rPr>
        <w:lastRenderedPageBreak/>
        <w:t>44</w:t>
      </w:r>
      <w:r>
        <w:rPr>
          <w:color w:val="000000"/>
        </w:rPr>
        <w:t> </w:t>
      </w:r>
      <w:r>
        <w:rPr>
          <w:color w:val="1B1B1B"/>
        </w:rPr>
        <w:t>Dyrektywa</w:t>
      </w:r>
      <w:r>
        <w:rPr>
          <w:color w:val="000000"/>
        </w:rPr>
        <w:t xml:space="preserve"> Parlamentu Europejskiego i Rady (UE) 2016/680 z dnia 27 kwietnia 2016 r. w sprawie ochrony osób fizycznych w związku z przetwarzaniem danych osobowych przez właściwe organy do celów zapobiegania przestępczości, prowadzenia postępowań przygotow</w:t>
      </w:r>
      <w:r>
        <w:rPr>
          <w:color w:val="000000"/>
        </w:rPr>
        <w:t>awczych, wykrywania i ścigania czynów zabronionych i wykonywania kar, w sprawie swobodnego przepływu takich danych oraz uchylająca decyzję ramową Rady 2008/977/</w:t>
      </w:r>
      <w:proofErr w:type="spellStart"/>
      <w:r>
        <w:rPr>
          <w:color w:val="000000"/>
        </w:rPr>
        <w:t>WSiSW</w:t>
      </w:r>
      <w:proofErr w:type="spellEnd"/>
      <w:r>
        <w:rPr>
          <w:color w:val="000000"/>
        </w:rPr>
        <w:t xml:space="preserve"> (</w:t>
      </w:r>
      <w:proofErr w:type="spellStart"/>
      <w:r>
        <w:rPr>
          <w:color w:val="000000"/>
        </w:rPr>
        <w:t>Dz.U</w:t>
      </w:r>
      <w:proofErr w:type="spellEnd"/>
      <w:r>
        <w:rPr>
          <w:color w:val="000000"/>
        </w:rPr>
        <w:t>. L 119 z 4.5.2016, s. 89).</w:t>
      </w:r>
    </w:p>
    <w:p w:rsidR="00DF1EB6" w:rsidRDefault="002F1DC5">
      <w:pPr>
        <w:spacing w:after="0"/>
      </w:pPr>
      <w:r>
        <w:rPr>
          <w:color w:val="000000"/>
          <w:vertAlign w:val="superscript"/>
        </w:rPr>
        <w:t>45</w:t>
      </w:r>
      <w:r>
        <w:rPr>
          <w:color w:val="000000"/>
        </w:rPr>
        <w:t> </w:t>
      </w:r>
      <w:r>
        <w:rPr>
          <w:color w:val="1B1B1B"/>
        </w:rPr>
        <w:t>Rozporządzenie</w:t>
      </w:r>
      <w:r>
        <w:rPr>
          <w:color w:val="000000"/>
        </w:rPr>
        <w:t xml:space="preserve"> Parlamentu Europejskiego i Rady (UE) 20</w:t>
      </w:r>
      <w:r>
        <w:rPr>
          <w:color w:val="000000"/>
        </w:rPr>
        <w:t xml:space="preserve">18/1725 z dnia 23 października 2018 r. w sprawie ochrony osób fizycznych w związku z przetwarzaniem danych osobowych przez instytucje, organy i jednostki organizacyjne Unii i swobodnego przepływu takich danych oraz uchylenia rozporządzenia (WE) nr 45/2001 </w:t>
      </w:r>
      <w:r>
        <w:rPr>
          <w:color w:val="000000"/>
        </w:rPr>
        <w:t>i decyzji nr 1247/2002/WE (</w:t>
      </w:r>
      <w:proofErr w:type="spellStart"/>
      <w:r>
        <w:rPr>
          <w:color w:val="000000"/>
        </w:rPr>
        <w:t>Dz.U</w:t>
      </w:r>
      <w:proofErr w:type="spellEnd"/>
      <w:r>
        <w:rPr>
          <w:color w:val="000000"/>
        </w:rPr>
        <w:t>. L 295 z 21.11.2018, s. 39).</w:t>
      </w:r>
    </w:p>
    <w:p w:rsidR="00DF1EB6" w:rsidRDefault="002F1DC5">
      <w:pPr>
        <w:spacing w:after="0"/>
      </w:pPr>
      <w:r>
        <w:rPr>
          <w:color w:val="000000"/>
          <w:vertAlign w:val="superscript"/>
        </w:rPr>
        <w:t>46</w:t>
      </w:r>
      <w:r>
        <w:rPr>
          <w:color w:val="000000"/>
        </w:rPr>
        <w:t> </w:t>
      </w:r>
      <w:r>
        <w:rPr>
          <w:color w:val="1B1B1B"/>
        </w:rPr>
        <w:t>Dyrektywa</w:t>
      </w:r>
      <w:r>
        <w:rPr>
          <w:color w:val="000000"/>
        </w:rPr>
        <w:t xml:space="preserve"> Parlamentu Europejskiego i Rady (UE) 2016/943 z dnia 8 czerwca 2016 r. w sprawie ochrony niejawnego </w:t>
      </w:r>
      <w:proofErr w:type="spellStart"/>
      <w:r>
        <w:rPr>
          <w:color w:val="000000"/>
        </w:rPr>
        <w:t>know-how</w:t>
      </w:r>
      <w:proofErr w:type="spellEnd"/>
      <w:r>
        <w:rPr>
          <w:color w:val="000000"/>
        </w:rPr>
        <w:t xml:space="preserve"> i niejawnych informacji handlowych (tajemnic przedsiębiorstwa) przed ich </w:t>
      </w:r>
      <w:r>
        <w:rPr>
          <w:color w:val="000000"/>
        </w:rPr>
        <w:t>bezprawnym pozyskiwaniem, wykorzystywaniem i ujawnianiem (</w:t>
      </w:r>
      <w:proofErr w:type="spellStart"/>
      <w:r>
        <w:rPr>
          <w:color w:val="000000"/>
        </w:rPr>
        <w:t>Dz.U</w:t>
      </w:r>
      <w:proofErr w:type="spellEnd"/>
      <w:r>
        <w:rPr>
          <w:color w:val="000000"/>
        </w:rPr>
        <w:t>. L 157 z 15.6.2016, s. 1).</w:t>
      </w:r>
    </w:p>
    <w:p w:rsidR="00DF1EB6" w:rsidRDefault="002F1DC5">
      <w:pPr>
        <w:spacing w:after="0"/>
      </w:pPr>
      <w:r>
        <w:rPr>
          <w:color w:val="000000"/>
          <w:vertAlign w:val="superscript"/>
        </w:rPr>
        <w:t>47</w:t>
      </w:r>
      <w:r>
        <w:rPr>
          <w:color w:val="000000"/>
        </w:rPr>
        <w:t> </w:t>
      </w:r>
      <w:r>
        <w:rPr>
          <w:color w:val="1B1B1B"/>
        </w:rPr>
        <w:t>Dyrektywa</w:t>
      </w:r>
      <w:r>
        <w:rPr>
          <w:color w:val="000000"/>
        </w:rPr>
        <w:t xml:space="preserve"> Parlamentu Europejskiego i Rady (UE) 2016/1919 z dnia 26 października 2016 r. w sprawie pomocy prawnej z urzędu dla podejrzanych i oskarżonych w postępow</w:t>
      </w:r>
      <w:r>
        <w:rPr>
          <w:color w:val="000000"/>
        </w:rPr>
        <w:t>aniu karnym oraz dla osób, których dotyczy wniosek w postępowaniu dotyczącym europejskiego nakazu aresztowania (</w:t>
      </w:r>
      <w:proofErr w:type="spellStart"/>
      <w:r>
        <w:rPr>
          <w:color w:val="000000"/>
        </w:rPr>
        <w:t>Dz.U</w:t>
      </w:r>
      <w:proofErr w:type="spellEnd"/>
      <w:r>
        <w:rPr>
          <w:color w:val="000000"/>
        </w:rPr>
        <w:t>. L 297 z 4.11.2016, s. 1).</w:t>
      </w:r>
    </w:p>
    <w:p w:rsidR="00DF1EB6" w:rsidRDefault="002F1DC5">
      <w:pPr>
        <w:spacing w:after="0"/>
      </w:pPr>
      <w:r>
        <w:rPr>
          <w:color w:val="000000"/>
          <w:vertAlign w:val="superscript"/>
        </w:rPr>
        <w:t>48</w:t>
      </w:r>
      <w:r>
        <w:rPr>
          <w:color w:val="000000"/>
        </w:rPr>
        <w:t> </w:t>
      </w:r>
      <w:r>
        <w:rPr>
          <w:color w:val="1B1B1B"/>
        </w:rPr>
        <w:t>Dyrektywa</w:t>
      </w:r>
      <w:r>
        <w:rPr>
          <w:color w:val="000000"/>
        </w:rPr>
        <w:t xml:space="preserve"> Parlamentu Europejskiego i Rady 2008/52/WE z dnia 21 maja 2008 r. w sprawie niektórych aspektów med</w:t>
      </w:r>
      <w:r>
        <w:rPr>
          <w:color w:val="000000"/>
        </w:rPr>
        <w:t>iacji w sprawach cywilnych i handlowych (</w:t>
      </w:r>
      <w:proofErr w:type="spellStart"/>
      <w:r>
        <w:rPr>
          <w:color w:val="000000"/>
        </w:rPr>
        <w:t>Dz.U</w:t>
      </w:r>
      <w:proofErr w:type="spellEnd"/>
      <w:r>
        <w:rPr>
          <w:color w:val="000000"/>
        </w:rPr>
        <w:t>. L 136 z 24.5.2008, s. 3).</w:t>
      </w:r>
    </w:p>
    <w:p w:rsidR="00DF1EB6" w:rsidRDefault="002F1DC5">
      <w:pPr>
        <w:spacing w:after="0"/>
      </w:pPr>
      <w:r>
        <w:rPr>
          <w:color w:val="000000"/>
          <w:vertAlign w:val="superscript"/>
        </w:rPr>
        <w:t>49</w:t>
      </w:r>
      <w:r>
        <w:rPr>
          <w:color w:val="000000"/>
        </w:rPr>
        <w:t> Załącznik zmieniony przez art. 47 rozporządzenia nr 1503/2020 z dnia 7 października 2020 r. (Dz.U.UE.L.2020.347.1) zmieniającego nin. dyrektywę z dniem 10 listopada 2021 r.</w:t>
      </w:r>
    </w:p>
    <w:sectPr w:rsidR="00DF1EB6" w:rsidSect="00DF1EB6">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53DE2"/>
    <w:multiLevelType w:val="multilevel"/>
    <w:tmpl w:val="7E54E25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1EB6"/>
    <w:rsid w:val="002F1DC5"/>
    <w:rsid w:val="00DF1E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DF1EB6"/>
    <w:rPr>
      <w:color w:val="0000FF" w:themeColor="hyperlink"/>
      <w:u w:val="single"/>
    </w:rPr>
  </w:style>
  <w:style w:type="table" w:styleId="Tabela-Siatka">
    <w:name w:val="Table Grid"/>
    <w:basedOn w:val="Standardowy"/>
    <w:uiPriority w:val="59"/>
    <w:rsid w:val="00DF1E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DF1EB6"/>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DF1EB6"/>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DF1EB6"/>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DF1EB6"/>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DF1EB6"/>
    <w:pPr>
      <w:spacing w:line="240" w:lineRule="auto"/>
    </w:pPr>
    <w:rPr>
      <w:rFonts w:ascii="Times New Roman" w:eastAsia="Times New Roman" w:hAnsi="Times New Roman" w:cs="Times New Roman"/>
      <w:color w:val="000000" w:themeColor="text1"/>
    </w:rPr>
  </w:style>
  <w:style w:type="paragraph" w:customStyle="1" w:styleId="BoldStyle">
    <w:name w:val="BoldStyle"/>
    <w:rsid w:val="00DF1EB6"/>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27323</Words>
  <Characters>163942</Characters>
  <Application>Microsoft Office Word</Application>
  <DocSecurity>0</DocSecurity>
  <Lines>1366</Lines>
  <Paragraphs>381</Paragraphs>
  <ScaleCrop>false</ScaleCrop>
  <Company/>
  <LinksUpToDate>false</LinksUpToDate>
  <CharactersWithSpaces>190884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Olejniczak</dc:creator>
  <cp:lastModifiedBy>dolejniczak</cp:lastModifiedBy>
  <cp:revision>2</cp:revision>
  <dcterms:created xsi:type="dcterms:W3CDTF">2021-12-17T07:15:00Z</dcterms:created>
  <dcterms:modified xsi:type="dcterms:W3CDTF">2021-12-17T07:15:00Z</dcterms:modified>
</cp:coreProperties>
</file>